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D119D" w14:textId="5D0FC756" w:rsidR="004938F2" w:rsidRPr="00FC7157" w:rsidRDefault="007446DE" w:rsidP="007446DE">
      <w:pPr>
        <w:spacing w:after="0" w:line="252" w:lineRule="auto"/>
        <w:jc w:val="center"/>
        <w:rPr>
          <w:rFonts w:asciiTheme="majorBidi" w:hAnsiTheme="majorBidi" w:cstheme="majorBidi"/>
          <w:b/>
          <w:bCs/>
          <w:color w:val="FF0000"/>
          <w:sz w:val="36"/>
          <w:szCs w:val="36"/>
          <w:lang w:bidi="ar-IQ"/>
        </w:rPr>
      </w:pPr>
      <w:r w:rsidRPr="00FC7157">
        <w:rPr>
          <w:rFonts w:asciiTheme="majorBidi" w:hAnsiTheme="majorBidi" w:cstheme="majorBidi"/>
          <w:b/>
          <w:bCs/>
          <w:color w:val="000000" w:themeColor="text1"/>
          <w:sz w:val="36"/>
          <w:szCs w:val="36"/>
          <w:lang w:bidi="ar-IQ"/>
        </w:rPr>
        <w:t xml:space="preserve">The </w:t>
      </w:r>
      <w:r w:rsidR="004C3B19" w:rsidRPr="00FC7157">
        <w:rPr>
          <w:rFonts w:asciiTheme="majorBidi" w:hAnsiTheme="majorBidi" w:cstheme="majorBidi"/>
          <w:b/>
          <w:bCs/>
          <w:color w:val="000000" w:themeColor="text1"/>
          <w:sz w:val="36"/>
          <w:szCs w:val="36"/>
          <w:lang w:bidi="ar-IQ"/>
        </w:rPr>
        <w:t xml:space="preserve">role </w:t>
      </w:r>
      <w:r w:rsidR="004938F2" w:rsidRPr="00FC7157">
        <w:rPr>
          <w:rFonts w:asciiTheme="majorBidi" w:hAnsiTheme="majorBidi" w:cstheme="majorBidi"/>
          <w:b/>
          <w:bCs/>
          <w:color w:val="000000" w:themeColor="text1"/>
          <w:sz w:val="36"/>
          <w:szCs w:val="36"/>
          <w:lang w:bidi="ar-IQ"/>
        </w:rPr>
        <w:t>of Anti-TPO and IL-10</w:t>
      </w:r>
      <w:r w:rsidR="004C3B19" w:rsidRPr="00FC7157">
        <w:rPr>
          <w:rFonts w:asciiTheme="majorBidi" w:hAnsiTheme="majorBidi" w:cstheme="majorBidi"/>
          <w:b/>
          <w:bCs/>
          <w:color w:val="000000" w:themeColor="text1"/>
          <w:sz w:val="36"/>
          <w:szCs w:val="36"/>
          <w:lang w:bidi="ar-IQ"/>
        </w:rPr>
        <w:t xml:space="preserve"> </w:t>
      </w:r>
      <w:r w:rsidR="004938F2" w:rsidRPr="00FC7157">
        <w:rPr>
          <w:rFonts w:asciiTheme="majorBidi" w:hAnsiTheme="majorBidi" w:cstheme="majorBidi"/>
          <w:b/>
          <w:bCs/>
          <w:color w:val="000000" w:themeColor="text1"/>
          <w:sz w:val="36"/>
          <w:szCs w:val="36"/>
          <w:lang w:bidi="ar-IQ"/>
        </w:rPr>
        <w:t xml:space="preserve">in </w:t>
      </w:r>
      <w:r w:rsidR="009D3070" w:rsidRPr="00FC7157">
        <w:rPr>
          <w:rFonts w:asciiTheme="majorBidi" w:hAnsiTheme="majorBidi" w:cstheme="majorBidi"/>
          <w:b/>
          <w:bCs/>
          <w:color w:val="000000" w:themeColor="text1"/>
          <w:sz w:val="36"/>
          <w:szCs w:val="36"/>
          <w:lang w:bidi="ar-IQ"/>
        </w:rPr>
        <w:t>prog</w:t>
      </w:r>
      <w:r w:rsidRPr="00FC7157">
        <w:rPr>
          <w:rFonts w:asciiTheme="majorBidi" w:hAnsiTheme="majorBidi" w:cstheme="majorBidi"/>
          <w:b/>
          <w:bCs/>
          <w:color w:val="000000" w:themeColor="text1"/>
          <w:sz w:val="36"/>
          <w:szCs w:val="36"/>
          <w:lang w:bidi="ar-IQ"/>
        </w:rPr>
        <w:t>ression of</w:t>
      </w:r>
      <w:r w:rsidR="004938F2" w:rsidRPr="00FC7157">
        <w:rPr>
          <w:rFonts w:asciiTheme="majorBidi" w:hAnsiTheme="majorBidi" w:cstheme="majorBidi"/>
          <w:b/>
          <w:bCs/>
          <w:color w:val="000000" w:themeColor="text1"/>
          <w:sz w:val="36"/>
          <w:szCs w:val="36"/>
          <w:lang w:bidi="ar-IQ"/>
        </w:rPr>
        <w:t xml:space="preserve"> </w:t>
      </w:r>
      <w:r w:rsidRPr="00FC7157">
        <w:rPr>
          <w:rFonts w:asciiTheme="majorBidi" w:hAnsiTheme="majorBidi" w:cstheme="majorBidi"/>
          <w:b/>
          <w:bCs/>
          <w:color w:val="000000" w:themeColor="text1"/>
          <w:sz w:val="36"/>
          <w:szCs w:val="36"/>
          <w:lang w:bidi="ar-IQ"/>
        </w:rPr>
        <w:t>A</w:t>
      </w:r>
      <w:r w:rsidR="00B532E3" w:rsidRPr="00FC7157">
        <w:rPr>
          <w:rFonts w:asciiTheme="majorBidi" w:hAnsiTheme="majorBidi" w:cstheme="majorBidi"/>
          <w:b/>
          <w:bCs/>
          <w:color w:val="000000" w:themeColor="text1"/>
          <w:sz w:val="36"/>
          <w:szCs w:val="36"/>
          <w:lang w:bidi="ar-IQ"/>
        </w:rPr>
        <w:t>uto</w:t>
      </w:r>
      <w:r w:rsidR="008A591A" w:rsidRPr="00FC7157">
        <w:rPr>
          <w:rFonts w:asciiTheme="majorBidi" w:hAnsiTheme="majorBidi" w:cstheme="majorBidi"/>
          <w:b/>
          <w:bCs/>
          <w:color w:val="000000" w:themeColor="text1"/>
          <w:sz w:val="36"/>
          <w:szCs w:val="36"/>
          <w:lang w:bidi="ar-IQ"/>
        </w:rPr>
        <w:t>immune</w:t>
      </w:r>
      <w:r w:rsidR="004938F2" w:rsidRPr="00FC7157">
        <w:rPr>
          <w:rFonts w:asciiTheme="majorBidi" w:hAnsiTheme="majorBidi" w:cstheme="majorBidi"/>
          <w:b/>
          <w:bCs/>
          <w:color w:val="000000" w:themeColor="text1"/>
          <w:sz w:val="36"/>
          <w:szCs w:val="36"/>
          <w:lang w:bidi="ar-IQ"/>
        </w:rPr>
        <w:t xml:space="preserve"> </w:t>
      </w:r>
      <w:r w:rsidRPr="00FC7157">
        <w:rPr>
          <w:rFonts w:asciiTheme="majorBidi" w:hAnsiTheme="majorBidi" w:cstheme="majorBidi"/>
          <w:b/>
          <w:bCs/>
          <w:color w:val="000000" w:themeColor="text1"/>
          <w:sz w:val="36"/>
          <w:szCs w:val="36"/>
          <w:lang w:bidi="ar-IQ"/>
        </w:rPr>
        <w:t>T</w:t>
      </w:r>
      <w:r w:rsidR="004938F2" w:rsidRPr="00FC7157">
        <w:rPr>
          <w:rFonts w:asciiTheme="majorBidi" w:hAnsiTheme="majorBidi" w:cstheme="majorBidi"/>
          <w:b/>
          <w:bCs/>
          <w:color w:val="000000" w:themeColor="text1"/>
          <w:sz w:val="36"/>
          <w:szCs w:val="36"/>
          <w:lang w:bidi="ar-IQ"/>
        </w:rPr>
        <w:t>hyroid disorders</w:t>
      </w:r>
    </w:p>
    <w:p w14:paraId="6227335F" w14:textId="77777777" w:rsidR="00EC5481" w:rsidRPr="00EC5481" w:rsidRDefault="00EC5481" w:rsidP="00BA14A2">
      <w:pPr>
        <w:spacing w:after="0" w:line="252" w:lineRule="auto"/>
        <w:jc w:val="center"/>
        <w:rPr>
          <w:rFonts w:asciiTheme="majorBidi" w:hAnsiTheme="majorBidi" w:cstheme="majorBidi"/>
          <w:b/>
          <w:bCs/>
          <w:sz w:val="36"/>
          <w:szCs w:val="36"/>
          <w:lang w:bidi="ar-IQ"/>
        </w:rPr>
      </w:pPr>
    </w:p>
    <w:p w14:paraId="7CAB43FD" w14:textId="3B667836" w:rsidR="00A605AE" w:rsidRPr="00CA473F" w:rsidRDefault="007862AA" w:rsidP="00BA14A2">
      <w:pPr>
        <w:spacing w:after="0" w:line="252" w:lineRule="auto"/>
        <w:jc w:val="center"/>
        <w:rPr>
          <w:rFonts w:asciiTheme="majorBidi" w:hAnsiTheme="majorBidi" w:cstheme="majorBidi"/>
          <w:b/>
          <w:bCs/>
        </w:rPr>
      </w:pPr>
      <w:r>
        <w:rPr>
          <w:rFonts w:asciiTheme="majorBidi" w:hAnsiTheme="majorBidi" w:cstheme="majorBidi" w:hint="cs"/>
          <w:b/>
          <w:bCs/>
          <w:vertAlign w:val="superscript"/>
          <w:rtl/>
        </w:rPr>
        <w:t>1</w:t>
      </w:r>
      <w:r w:rsidR="00A605AE" w:rsidRPr="00CA473F">
        <w:rPr>
          <w:rFonts w:asciiTheme="majorBidi" w:hAnsiTheme="majorBidi" w:cstheme="majorBidi"/>
          <w:b/>
          <w:bCs/>
        </w:rPr>
        <w:t>Basma Ahmed Muayad</w:t>
      </w:r>
      <w:r w:rsidR="00AE6BB5" w:rsidRPr="00CA473F">
        <w:rPr>
          <w:rFonts w:asciiTheme="majorBidi" w:hAnsiTheme="majorBidi" w:cstheme="majorBidi"/>
          <w:b/>
          <w:bCs/>
        </w:rPr>
        <w:t>,</w:t>
      </w:r>
      <w:r>
        <w:rPr>
          <w:rFonts w:asciiTheme="majorBidi" w:hAnsiTheme="majorBidi" w:cstheme="majorBidi" w:hint="cs"/>
          <w:b/>
          <w:bCs/>
          <w:rtl/>
        </w:rPr>
        <w:t xml:space="preserve"> </w:t>
      </w:r>
      <w:r w:rsidR="00563C86" w:rsidRPr="00CA473F">
        <w:rPr>
          <w:rFonts w:asciiTheme="majorBidi" w:hAnsiTheme="majorBidi" w:cstheme="majorBidi"/>
          <w:b/>
          <w:bCs/>
        </w:rPr>
        <w:t>Hamsa Ahmed Jassim</w:t>
      </w:r>
    </w:p>
    <w:p w14:paraId="063AC69C" w14:textId="77777777" w:rsidR="00CA473F" w:rsidRPr="007862AA" w:rsidRDefault="00CA473F" w:rsidP="00BA14A2">
      <w:pPr>
        <w:spacing w:after="0" w:line="252" w:lineRule="auto"/>
        <w:jc w:val="both"/>
        <w:rPr>
          <w:rFonts w:asciiTheme="majorBidi" w:hAnsiTheme="majorBidi" w:cstheme="majorBidi"/>
          <w:sz w:val="24"/>
          <w:szCs w:val="24"/>
          <w:vertAlign w:val="superscript"/>
        </w:rPr>
      </w:pPr>
    </w:p>
    <w:p w14:paraId="1E75756C" w14:textId="651E73CD" w:rsidR="00CA473F" w:rsidRDefault="007862AA" w:rsidP="00BA14A2">
      <w:pPr>
        <w:spacing w:after="0" w:line="252" w:lineRule="auto"/>
        <w:jc w:val="center"/>
        <w:rPr>
          <w:rFonts w:asciiTheme="majorBidi" w:hAnsiTheme="majorBidi" w:cstheme="majorBidi"/>
          <w:sz w:val="20"/>
          <w:szCs w:val="20"/>
        </w:rPr>
      </w:pPr>
      <w:r w:rsidRPr="007862AA">
        <w:rPr>
          <w:rFonts w:asciiTheme="majorBidi" w:hAnsiTheme="majorBidi" w:cstheme="majorBidi" w:hint="cs"/>
          <w:sz w:val="20"/>
          <w:szCs w:val="20"/>
          <w:vertAlign w:val="superscript"/>
          <w:rtl/>
        </w:rPr>
        <w:t>1</w:t>
      </w:r>
      <w:r w:rsidR="00CA473F" w:rsidRPr="00542197">
        <w:rPr>
          <w:rFonts w:asciiTheme="majorBidi" w:hAnsiTheme="majorBidi" w:cstheme="majorBidi"/>
          <w:sz w:val="20"/>
          <w:szCs w:val="20"/>
        </w:rPr>
        <w:t>Institute of Genetic Engineering and Biotechnology for Postgraduate Studies, University of Baghdad.</w:t>
      </w:r>
    </w:p>
    <w:p w14:paraId="2A738938" w14:textId="77777777" w:rsidR="00F903E8" w:rsidRDefault="00F903E8" w:rsidP="00BA14A2">
      <w:pPr>
        <w:spacing w:after="0" w:line="252" w:lineRule="auto"/>
        <w:jc w:val="center"/>
        <w:rPr>
          <w:rFonts w:asciiTheme="majorBidi" w:hAnsiTheme="majorBidi" w:cstheme="majorBidi"/>
          <w:sz w:val="20"/>
          <w:szCs w:val="20"/>
        </w:rPr>
      </w:pPr>
    </w:p>
    <w:p w14:paraId="1EBAB0E4" w14:textId="3990F01F" w:rsidR="00F903E8" w:rsidRPr="00F903E8" w:rsidRDefault="00F903E8" w:rsidP="00F903E8">
      <w:pPr>
        <w:spacing w:after="0" w:line="252" w:lineRule="auto"/>
        <w:jc w:val="center"/>
        <w:rPr>
          <w:rFonts w:asciiTheme="majorBidi" w:hAnsiTheme="majorBidi" w:cstheme="majorBidi"/>
          <w:sz w:val="24"/>
          <w:szCs w:val="24"/>
        </w:rPr>
      </w:pPr>
      <w:r w:rsidRPr="00F903E8">
        <w:rPr>
          <w:rFonts w:asciiTheme="majorBidi" w:hAnsiTheme="majorBidi" w:cstheme="majorBidi"/>
          <w:b/>
          <w:bCs/>
          <w:sz w:val="24"/>
          <w:szCs w:val="24"/>
        </w:rPr>
        <w:t>Abstract</w:t>
      </w:r>
    </w:p>
    <w:p w14:paraId="515C4169" w14:textId="3896AC87" w:rsidR="00A605AE" w:rsidRPr="00A23055" w:rsidRDefault="00A605AE" w:rsidP="00BA14A2">
      <w:pPr>
        <w:spacing w:after="0" w:line="252" w:lineRule="auto"/>
        <w:jc w:val="both"/>
        <w:rPr>
          <w:rFonts w:asciiTheme="majorBidi" w:hAnsiTheme="majorBidi" w:cstheme="majorBidi"/>
          <w:sz w:val="24"/>
          <w:szCs w:val="24"/>
        </w:rPr>
      </w:pPr>
    </w:p>
    <w:p w14:paraId="37085323" w14:textId="0366DB74" w:rsidR="009318EB" w:rsidRPr="001E3AFD" w:rsidRDefault="00AA0E39" w:rsidP="00AA0E39">
      <w:pPr>
        <w:spacing w:after="0" w:line="252" w:lineRule="auto"/>
        <w:jc w:val="both"/>
        <w:rPr>
          <w:rFonts w:asciiTheme="majorBidi" w:hAnsiTheme="majorBidi" w:cstheme="majorBidi"/>
          <w:b/>
          <w:bCs/>
          <w:color w:val="000000" w:themeColor="text1"/>
          <w:sz w:val="20"/>
          <w:szCs w:val="20"/>
          <w:lang w:bidi="ar-IQ"/>
        </w:rPr>
      </w:pPr>
      <w:r>
        <w:rPr>
          <w:rFonts w:asciiTheme="majorBidi" w:hAnsiTheme="majorBidi" w:cstheme="majorBidi"/>
          <w:b/>
          <w:bCs/>
          <w:sz w:val="20"/>
          <w:szCs w:val="20"/>
          <w:lang w:bidi="ar-IQ"/>
        </w:rPr>
        <w:t>Background.</w:t>
      </w:r>
      <w:r w:rsidR="001E3AFD" w:rsidRPr="001E3AFD">
        <w:rPr>
          <w:rFonts w:asciiTheme="majorBidi" w:hAnsiTheme="majorBidi" w:cstheme="majorBidi"/>
          <w:b/>
          <w:bCs/>
          <w:sz w:val="20"/>
          <w:szCs w:val="20"/>
          <w:lang w:bidi="ar-IQ"/>
        </w:rPr>
        <w:t xml:space="preserve"> </w:t>
      </w:r>
      <w:r w:rsidR="00CB5F76" w:rsidRPr="001E3AFD">
        <w:rPr>
          <w:rFonts w:asciiTheme="majorBidi" w:eastAsia="Times New Roman" w:hAnsiTheme="majorBidi" w:cstheme="majorBidi"/>
          <w:color w:val="000000" w:themeColor="text1"/>
          <w:sz w:val="20"/>
          <w:szCs w:val="20"/>
        </w:rPr>
        <w:t>Thyroid disorders</w:t>
      </w:r>
      <w:r w:rsidR="00646512" w:rsidRPr="001E3AFD">
        <w:rPr>
          <w:rFonts w:asciiTheme="majorBidi" w:eastAsia="Times New Roman" w:hAnsiTheme="majorBidi" w:cstheme="majorBidi"/>
          <w:color w:val="000000" w:themeColor="text1"/>
          <w:sz w:val="20"/>
          <w:szCs w:val="20"/>
        </w:rPr>
        <w:t xml:space="preserve"> are prevalent health issues that</w:t>
      </w:r>
      <w:r w:rsidR="00CB5F76" w:rsidRPr="001E3AFD">
        <w:rPr>
          <w:rFonts w:asciiTheme="majorBidi" w:eastAsia="Times New Roman" w:hAnsiTheme="majorBidi" w:cstheme="majorBidi"/>
          <w:color w:val="000000" w:themeColor="text1"/>
          <w:sz w:val="20"/>
          <w:szCs w:val="20"/>
        </w:rPr>
        <w:t xml:space="preserve"> </w:t>
      </w:r>
      <w:r w:rsidR="002D3D20" w:rsidRPr="001E3AFD">
        <w:rPr>
          <w:rFonts w:asciiTheme="majorBidi" w:eastAsia="Times New Roman" w:hAnsiTheme="majorBidi" w:cstheme="majorBidi"/>
          <w:color w:val="000000" w:themeColor="text1"/>
          <w:sz w:val="20"/>
          <w:szCs w:val="20"/>
        </w:rPr>
        <w:t>origin</w:t>
      </w:r>
      <w:r w:rsidR="00CB5F76" w:rsidRPr="001E3AFD">
        <w:rPr>
          <w:rFonts w:asciiTheme="majorBidi" w:eastAsia="Times New Roman" w:hAnsiTheme="majorBidi" w:cstheme="majorBidi"/>
          <w:color w:val="000000" w:themeColor="text1"/>
          <w:sz w:val="20"/>
          <w:szCs w:val="20"/>
        </w:rPr>
        <w:t xml:space="preserve"> from impaired thyroid hormone production due to factors </w:t>
      </w:r>
      <w:r w:rsidR="002D3D20" w:rsidRPr="001E3AFD">
        <w:rPr>
          <w:rFonts w:asciiTheme="majorBidi" w:eastAsia="Times New Roman" w:hAnsiTheme="majorBidi" w:cstheme="majorBidi"/>
          <w:color w:val="000000" w:themeColor="text1"/>
          <w:sz w:val="20"/>
          <w:szCs w:val="20"/>
        </w:rPr>
        <w:t>including</w:t>
      </w:r>
      <w:r w:rsidR="00CB5F76" w:rsidRPr="001E3AFD">
        <w:rPr>
          <w:rFonts w:asciiTheme="majorBidi" w:eastAsia="Times New Roman" w:hAnsiTheme="majorBidi" w:cstheme="majorBidi"/>
          <w:color w:val="000000" w:themeColor="text1"/>
          <w:sz w:val="20"/>
          <w:szCs w:val="20"/>
        </w:rPr>
        <w:t xml:space="preserve"> inflammation, autoimmune conditions, tumors, or medical interventions</w:t>
      </w:r>
      <w:r w:rsidR="001B0738" w:rsidRPr="001E3AFD">
        <w:rPr>
          <w:rFonts w:asciiTheme="majorBidi" w:eastAsia="Times New Roman" w:hAnsiTheme="majorBidi" w:cstheme="majorBidi"/>
          <w:color w:val="000000" w:themeColor="text1"/>
          <w:sz w:val="20"/>
          <w:szCs w:val="20"/>
        </w:rPr>
        <w:t xml:space="preserve">. </w:t>
      </w:r>
      <w:r w:rsidR="001E3AFD" w:rsidRPr="001E3AFD">
        <w:rPr>
          <w:rFonts w:asciiTheme="majorBidi" w:eastAsia="Times New Roman" w:hAnsiTheme="majorBidi" w:cstheme="majorBidi"/>
          <w:b/>
          <w:bCs/>
          <w:color w:val="000000" w:themeColor="text1"/>
          <w:sz w:val="20"/>
          <w:szCs w:val="20"/>
        </w:rPr>
        <w:t>Aim</w:t>
      </w:r>
      <w:r>
        <w:rPr>
          <w:rFonts w:asciiTheme="majorBidi" w:eastAsia="Times New Roman" w:hAnsiTheme="majorBidi" w:cstheme="majorBidi"/>
          <w:b/>
          <w:bCs/>
          <w:color w:val="000000" w:themeColor="text1"/>
          <w:sz w:val="20"/>
          <w:szCs w:val="20"/>
        </w:rPr>
        <w:t>.</w:t>
      </w:r>
      <w:r w:rsidR="001E3AFD" w:rsidRPr="001E3AFD">
        <w:rPr>
          <w:rFonts w:asciiTheme="majorBidi" w:eastAsia="Times New Roman" w:hAnsiTheme="majorBidi" w:cstheme="majorBidi"/>
          <w:color w:val="000000" w:themeColor="text1"/>
          <w:sz w:val="20"/>
          <w:szCs w:val="20"/>
        </w:rPr>
        <w:t xml:space="preserve"> </w:t>
      </w:r>
      <w:r>
        <w:rPr>
          <w:rFonts w:asciiTheme="majorBidi" w:eastAsia="Times New Roman" w:hAnsiTheme="majorBidi" w:cstheme="majorBidi"/>
          <w:color w:val="000000" w:themeColor="text1"/>
          <w:sz w:val="20"/>
          <w:szCs w:val="20"/>
        </w:rPr>
        <w:t>This study aimed t</w:t>
      </w:r>
      <w:r w:rsidR="002D3D20" w:rsidRPr="001E3AFD">
        <w:rPr>
          <w:rFonts w:asciiTheme="majorBidi" w:eastAsia="Times New Roman" w:hAnsiTheme="majorBidi" w:cstheme="majorBidi"/>
          <w:color w:val="000000" w:themeColor="text1"/>
          <w:sz w:val="20"/>
          <w:szCs w:val="20"/>
        </w:rPr>
        <w:t xml:space="preserve">o </w:t>
      </w:r>
      <w:r w:rsidR="00CB5F76" w:rsidRPr="001E3AFD">
        <w:rPr>
          <w:rFonts w:asciiTheme="majorBidi" w:eastAsia="Times New Roman" w:hAnsiTheme="majorBidi" w:cstheme="majorBidi"/>
          <w:color w:val="000000" w:themeColor="text1"/>
          <w:sz w:val="20"/>
          <w:szCs w:val="20"/>
        </w:rPr>
        <w:t xml:space="preserve">investigate the role of Interleukin-10 (IL-10) and anti-thyroid peroxidase antibodies (Anti-TPO) in the </w:t>
      </w:r>
      <w:r w:rsidR="002D3D20" w:rsidRPr="001E3AFD">
        <w:rPr>
          <w:rFonts w:asciiTheme="majorBidi" w:eastAsia="Times New Roman" w:hAnsiTheme="majorBidi" w:cstheme="majorBidi"/>
          <w:color w:val="000000" w:themeColor="text1"/>
          <w:sz w:val="20"/>
          <w:szCs w:val="20"/>
        </w:rPr>
        <w:t>predicti</w:t>
      </w:r>
      <w:r w:rsidR="00647802" w:rsidRPr="001E3AFD">
        <w:rPr>
          <w:rFonts w:asciiTheme="majorBidi" w:eastAsia="Times New Roman" w:hAnsiTheme="majorBidi" w:cstheme="majorBidi"/>
          <w:color w:val="000000" w:themeColor="text1"/>
          <w:sz w:val="20"/>
          <w:szCs w:val="20"/>
        </w:rPr>
        <w:t>on</w:t>
      </w:r>
      <w:r w:rsidR="002D3D20" w:rsidRPr="001E3AFD">
        <w:rPr>
          <w:rFonts w:asciiTheme="majorBidi" w:eastAsia="Times New Roman" w:hAnsiTheme="majorBidi" w:cstheme="majorBidi"/>
          <w:color w:val="000000" w:themeColor="text1"/>
          <w:sz w:val="20"/>
          <w:szCs w:val="20"/>
        </w:rPr>
        <w:t xml:space="preserve"> and prognosis</w:t>
      </w:r>
      <w:r w:rsidR="00CB5F76" w:rsidRPr="001E3AFD">
        <w:rPr>
          <w:rFonts w:asciiTheme="majorBidi" w:eastAsia="Times New Roman" w:hAnsiTheme="majorBidi" w:cstheme="majorBidi"/>
          <w:color w:val="000000" w:themeColor="text1"/>
          <w:sz w:val="20"/>
          <w:szCs w:val="20"/>
        </w:rPr>
        <w:t xml:space="preserve"> of </w:t>
      </w:r>
      <w:r w:rsidR="00646512" w:rsidRPr="001E3AFD">
        <w:rPr>
          <w:rFonts w:asciiTheme="majorBidi" w:eastAsia="Times New Roman" w:hAnsiTheme="majorBidi" w:cstheme="majorBidi"/>
          <w:color w:val="000000" w:themeColor="text1"/>
          <w:sz w:val="20"/>
          <w:szCs w:val="20"/>
        </w:rPr>
        <w:t xml:space="preserve">autoimmune </w:t>
      </w:r>
      <w:r w:rsidR="002D3D20" w:rsidRPr="001E3AFD">
        <w:rPr>
          <w:rFonts w:asciiTheme="majorBidi" w:eastAsia="Times New Roman" w:hAnsiTheme="majorBidi" w:cstheme="majorBidi"/>
          <w:color w:val="000000" w:themeColor="text1"/>
          <w:sz w:val="20"/>
          <w:szCs w:val="20"/>
        </w:rPr>
        <w:t>thyroid</w:t>
      </w:r>
      <w:r w:rsidR="00CB5F76" w:rsidRPr="001E3AFD">
        <w:rPr>
          <w:rFonts w:asciiTheme="majorBidi" w:eastAsia="Times New Roman" w:hAnsiTheme="majorBidi" w:cstheme="majorBidi"/>
          <w:color w:val="000000" w:themeColor="text1"/>
          <w:sz w:val="20"/>
          <w:szCs w:val="20"/>
        </w:rPr>
        <w:t xml:space="preserve"> disorders</w:t>
      </w:r>
      <w:r w:rsidR="00646512" w:rsidRPr="001E3AFD">
        <w:rPr>
          <w:rFonts w:asciiTheme="majorBidi" w:eastAsia="Times New Roman" w:hAnsiTheme="majorBidi" w:cstheme="majorBidi"/>
          <w:color w:val="000000" w:themeColor="text1"/>
          <w:sz w:val="20"/>
          <w:szCs w:val="20"/>
        </w:rPr>
        <w:t xml:space="preserve"> (AITD)</w:t>
      </w:r>
      <w:r w:rsidR="00CB5F76" w:rsidRPr="001E3AFD">
        <w:rPr>
          <w:rFonts w:asciiTheme="majorBidi" w:eastAsia="Times New Roman" w:hAnsiTheme="majorBidi" w:cstheme="majorBidi"/>
          <w:color w:val="000000" w:themeColor="text1"/>
          <w:sz w:val="20"/>
          <w:szCs w:val="20"/>
        </w:rPr>
        <w:t>.</w:t>
      </w:r>
      <w:r w:rsidR="001B0738" w:rsidRPr="001E3AFD">
        <w:rPr>
          <w:rFonts w:asciiTheme="majorBidi" w:eastAsia="Times New Roman" w:hAnsiTheme="majorBidi" w:cstheme="majorBidi"/>
          <w:color w:val="000000" w:themeColor="text1"/>
          <w:sz w:val="20"/>
          <w:szCs w:val="20"/>
        </w:rPr>
        <w:t xml:space="preserve"> </w:t>
      </w:r>
      <w:r w:rsidR="001B0738" w:rsidRPr="001E3AFD">
        <w:rPr>
          <w:rFonts w:asciiTheme="majorBidi" w:eastAsia="Times New Roman" w:hAnsiTheme="majorBidi" w:cstheme="majorBidi"/>
          <w:b/>
          <w:bCs/>
          <w:color w:val="000000" w:themeColor="text1"/>
          <w:sz w:val="20"/>
          <w:szCs w:val="20"/>
        </w:rPr>
        <w:t>Methods</w:t>
      </w:r>
      <w:r>
        <w:rPr>
          <w:rFonts w:asciiTheme="majorBidi" w:eastAsia="Times New Roman" w:hAnsiTheme="majorBidi" w:cstheme="majorBidi"/>
          <w:b/>
          <w:bCs/>
          <w:color w:val="000000" w:themeColor="text1"/>
          <w:sz w:val="20"/>
          <w:szCs w:val="20"/>
        </w:rPr>
        <w:t>.</w:t>
      </w:r>
      <w:r w:rsidR="001B0738" w:rsidRPr="001E3AFD">
        <w:rPr>
          <w:rFonts w:asciiTheme="majorBidi" w:eastAsia="Times New Roman" w:hAnsiTheme="majorBidi" w:cstheme="majorBidi"/>
          <w:b/>
          <w:bCs/>
          <w:color w:val="000000" w:themeColor="text1"/>
          <w:sz w:val="20"/>
          <w:szCs w:val="20"/>
        </w:rPr>
        <w:t xml:space="preserve"> </w:t>
      </w:r>
      <w:r w:rsidR="001B0738" w:rsidRPr="001E3AFD">
        <w:rPr>
          <w:rFonts w:asciiTheme="majorBidi" w:eastAsia="Times New Roman" w:hAnsiTheme="majorBidi" w:cstheme="majorBidi"/>
          <w:color w:val="000000" w:themeColor="text1"/>
          <w:sz w:val="20"/>
          <w:szCs w:val="20"/>
        </w:rPr>
        <w:t>In this research,</w:t>
      </w:r>
      <w:r w:rsidR="00CB5F76" w:rsidRPr="001E3AFD">
        <w:rPr>
          <w:rFonts w:asciiTheme="majorBidi" w:eastAsia="Times New Roman" w:hAnsiTheme="majorBidi" w:cstheme="majorBidi"/>
          <w:color w:val="000000" w:themeColor="text1"/>
          <w:sz w:val="20"/>
          <w:szCs w:val="20"/>
        </w:rPr>
        <w:t xml:space="preserve"> One hundred patients with thyroid disease and fifty healthy controls were included. Thyroid function </w:t>
      </w:r>
      <w:r w:rsidR="002D3D20" w:rsidRPr="001E3AFD">
        <w:rPr>
          <w:rFonts w:asciiTheme="majorBidi" w:eastAsia="Times New Roman" w:hAnsiTheme="majorBidi" w:cstheme="majorBidi"/>
          <w:color w:val="000000" w:themeColor="text1"/>
          <w:sz w:val="20"/>
          <w:szCs w:val="20"/>
        </w:rPr>
        <w:t>hormone</w:t>
      </w:r>
      <w:r w:rsidR="00647802" w:rsidRPr="001E3AFD">
        <w:rPr>
          <w:rFonts w:asciiTheme="majorBidi" w:eastAsia="Times New Roman" w:hAnsiTheme="majorBidi" w:cstheme="majorBidi"/>
          <w:color w:val="000000" w:themeColor="text1"/>
          <w:sz w:val="20"/>
          <w:szCs w:val="20"/>
        </w:rPr>
        <w:t>s</w:t>
      </w:r>
      <w:r w:rsidR="002D3D20" w:rsidRPr="001E3AFD">
        <w:rPr>
          <w:rFonts w:asciiTheme="majorBidi" w:eastAsia="Times New Roman" w:hAnsiTheme="majorBidi" w:cstheme="majorBidi"/>
          <w:color w:val="000000" w:themeColor="text1"/>
          <w:sz w:val="20"/>
          <w:szCs w:val="20"/>
        </w:rPr>
        <w:t xml:space="preserve"> (TSH, T3</w:t>
      </w:r>
      <w:r w:rsidR="00647802" w:rsidRPr="001E3AFD">
        <w:rPr>
          <w:rFonts w:asciiTheme="majorBidi" w:eastAsia="Times New Roman" w:hAnsiTheme="majorBidi" w:cstheme="majorBidi"/>
          <w:color w:val="000000" w:themeColor="text1"/>
          <w:sz w:val="20"/>
          <w:szCs w:val="20"/>
        </w:rPr>
        <w:t>,</w:t>
      </w:r>
      <w:r w:rsidR="002D3D20" w:rsidRPr="001E3AFD">
        <w:rPr>
          <w:rFonts w:asciiTheme="majorBidi" w:eastAsia="Times New Roman" w:hAnsiTheme="majorBidi" w:cstheme="majorBidi"/>
          <w:color w:val="000000" w:themeColor="text1"/>
          <w:sz w:val="20"/>
          <w:szCs w:val="20"/>
        </w:rPr>
        <w:t xml:space="preserve"> and T4</w:t>
      </w:r>
      <w:r w:rsidR="00CB5F76" w:rsidRPr="001E3AFD">
        <w:rPr>
          <w:rFonts w:asciiTheme="majorBidi" w:eastAsia="Times New Roman" w:hAnsiTheme="majorBidi" w:cstheme="majorBidi"/>
          <w:color w:val="000000" w:themeColor="text1"/>
          <w:sz w:val="20"/>
          <w:szCs w:val="20"/>
        </w:rPr>
        <w:t xml:space="preserve">) </w:t>
      </w:r>
      <w:r w:rsidR="002D3D20" w:rsidRPr="001E3AFD">
        <w:rPr>
          <w:rFonts w:asciiTheme="majorBidi" w:eastAsia="Times New Roman" w:hAnsiTheme="majorBidi" w:cstheme="majorBidi"/>
          <w:color w:val="000000" w:themeColor="text1"/>
          <w:sz w:val="20"/>
          <w:szCs w:val="20"/>
        </w:rPr>
        <w:t xml:space="preserve">were assessed using Cobas analyzer. Serum </w:t>
      </w:r>
      <w:r w:rsidR="00CB5F76" w:rsidRPr="001E3AFD">
        <w:rPr>
          <w:rFonts w:asciiTheme="majorBidi" w:eastAsia="Times New Roman" w:hAnsiTheme="majorBidi" w:cstheme="majorBidi"/>
          <w:color w:val="000000" w:themeColor="text1"/>
          <w:sz w:val="20"/>
          <w:szCs w:val="20"/>
        </w:rPr>
        <w:t xml:space="preserve">levels of IL-10 and Anti-TPO were </w:t>
      </w:r>
      <w:r w:rsidR="002D3D20" w:rsidRPr="001E3AFD">
        <w:rPr>
          <w:rFonts w:asciiTheme="majorBidi" w:eastAsia="Times New Roman" w:hAnsiTheme="majorBidi" w:cstheme="majorBidi"/>
          <w:color w:val="000000" w:themeColor="text1"/>
          <w:sz w:val="20"/>
          <w:szCs w:val="20"/>
        </w:rPr>
        <w:t xml:space="preserve">measured using </w:t>
      </w:r>
      <w:r w:rsidR="00647802" w:rsidRPr="001E3AFD">
        <w:rPr>
          <w:rFonts w:asciiTheme="majorBidi" w:eastAsia="Times New Roman" w:hAnsiTheme="majorBidi" w:cstheme="majorBidi"/>
          <w:color w:val="000000" w:themeColor="text1"/>
          <w:sz w:val="20"/>
          <w:szCs w:val="20"/>
        </w:rPr>
        <w:t xml:space="preserve">the </w:t>
      </w:r>
      <w:r w:rsidR="002D3D20" w:rsidRPr="001E3AFD">
        <w:rPr>
          <w:rFonts w:asciiTheme="majorBidi" w:eastAsia="Times New Roman" w:hAnsiTheme="majorBidi" w:cstheme="majorBidi"/>
          <w:color w:val="000000" w:themeColor="text1"/>
          <w:sz w:val="20"/>
          <w:szCs w:val="20"/>
        </w:rPr>
        <w:t>ELISA technique</w:t>
      </w:r>
      <w:r w:rsidR="00CB5F76" w:rsidRPr="001E3AFD">
        <w:rPr>
          <w:rFonts w:asciiTheme="majorBidi" w:eastAsia="Times New Roman" w:hAnsiTheme="majorBidi" w:cstheme="majorBidi"/>
          <w:color w:val="000000" w:themeColor="text1"/>
          <w:sz w:val="20"/>
          <w:szCs w:val="20"/>
        </w:rPr>
        <w:t xml:space="preserve">. </w:t>
      </w:r>
      <w:r w:rsidR="00CB5F76" w:rsidRPr="001E3AFD">
        <w:rPr>
          <w:rFonts w:asciiTheme="majorBidi" w:eastAsia="Times New Roman" w:hAnsiTheme="majorBidi" w:cstheme="majorBidi"/>
          <w:b/>
          <w:bCs/>
          <w:color w:val="000000" w:themeColor="text1"/>
          <w:sz w:val="20"/>
          <w:szCs w:val="20"/>
        </w:rPr>
        <w:t>Results</w:t>
      </w:r>
      <w:r>
        <w:rPr>
          <w:rFonts w:asciiTheme="majorBidi" w:eastAsia="Times New Roman" w:hAnsiTheme="majorBidi" w:cstheme="majorBidi"/>
          <w:b/>
          <w:bCs/>
          <w:color w:val="000000" w:themeColor="text1"/>
          <w:sz w:val="20"/>
          <w:szCs w:val="20"/>
        </w:rPr>
        <w:t>.</w:t>
      </w:r>
      <w:r w:rsidR="00CB5F76" w:rsidRPr="001E3AFD">
        <w:rPr>
          <w:rFonts w:asciiTheme="majorBidi" w:eastAsia="Times New Roman" w:hAnsiTheme="majorBidi" w:cstheme="majorBidi"/>
          <w:color w:val="000000" w:themeColor="text1"/>
          <w:sz w:val="20"/>
          <w:szCs w:val="20"/>
        </w:rPr>
        <w:t xml:space="preserve"> </w:t>
      </w:r>
      <w:r>
        <w:rPr>
          <w:rFonts w:asciiTheme="majorBidi" w:eastAsia="Times New Roman" w:hAnsiTheme="majorBidi" w:cstheme="majorBidi"/>
          <w:color w:val="000000" w:themeColor="text1"/>
          <w:sz w:val="20"/>
          <w:szCs w:val="20"/>
        </w:rPr>
        <w:t xml:space="preserve">The results of current study </w:t>
      </w:r>
      <w:r w:rsidR="00CB5F76" w:rsidRPr="001E3AFD">
        <w:rPr>
          <w:rFonts w:asciiTheme="majorBidi" w:eastAsia="Times New Roman" w:hAnsiTheme="majorBidi" w:cstheme="majorBidi"/>
          <w:color w:val="000000" w:themeColor="text1"/>
          <w:sz w:val="20"/>
          <w:szCs w:val="20"/>
        </w:rPr>
        <w:t xml:space="preserve">demonstrated significantly higher Anti-TPO levels in patients compared to controls (p&lt;0.001), suggesting its </w:t>
      </w:r>
      <w:r w:rsidR="002D3D20" w:rsidRPr="001E3AFD">
        <w:rPr>
          <w:rFonts w:asciiTheme="majorBidi" w:eastAsia="Times New Roman" w:hAnsiTheme="majorBidi" w:cstheme="majorBidi"/>
          <w:color w:val="000000" w:themeColor="text1"/>
          <w:sz w:val="20"/>
          <w:szCs w:val="20"/>
        </w:rPr>
        <w:t>efficiency</w:t>
      </w:r>
      <w:r w:rsidR="00CB5F76" w:rsidRPr="001E3AFD">
        <w:rPr>
          <w:rFonts w:asciiTheme="majorBidi" w:eastAsia="Times New Roman" w:hAnsiTheme="majorBidi" w:cstheme="majorBidi"/>
          <w:color w:val="000000" w:themeColor="text1"/>
          <w:sz w:val="20"/>
          <w:szCs w:val="20"/>
        </w:rPr>
        <w:t xml:space="preserve"> </w:t>
      </w:r>
      <w:r w:rsidR="00646512" w:rsidRPr="001E3AFD">
        <w:rPr>
          <w:rFonts w:asciiTheme="majorBidi" w:eastAsia="Times New Roman" w:hAnsiTheme="majorBidi" w:cstheme="majorBidi"/>
          <w:color w:val="000000" w:themeColor="text1"/>
          <w:sz w:val="20"/>
          <w:szCs w:val="20"/>
        </w:rPr>
        <w:t>may act as indicator</w:t>
      </w:r>
      <w:r w:rsidR="00CB5F76" w:rsidRPr="001E3AFD">
        <w:rPr>
          <w:rFonts w:asciiTheme="majorBidi" w:eastAsia="Times New Roman" w:hAnsiTheme="majorBidi" w:cstheme="majorBidi"/>
          <w:color w:val="000000" w:themeColor="text1"/>
          <w:sz w:val="20"/>
          <w:szCs w:val="20"/>
        </w:rPr>
        <w:t xml:space="preserve"> for </w:t>
      </w:r>
      <w:r w:rsidR="00647802" w:rsidRPr="001E3AFD">
        <w:rPr>
          <w:rFonts w:asciiTheme="majorBidi" w:eastAsia="Times New Roman" w:hAnsiTheme="majorBidi" w:cstheme="majorBidi"/>
          <w:color w:val="000000" w:themeColor="text1"/>
          <w:sz w:val="20"/>
          <w:szCs w:val="20"/>
        </w:rPr>
        <w:t xml:space="preserve">the </w:t>
      </w:r>
      <w:r w:rsidR="002D3D20" w:rsidRPr="001E3AFD">
        <w:rPr>
          <w:rFonts w:asciiTheme="majorBidi" w:eastAsia="Times New Roman" w:hAnsiTheme="majorBidi" w:cstheme="majorBidi"/>
          <w:color w:val="000000" w:themeColor="text1"/>
          <w:sz w:val="20"/>
          <w:szCs w:val="20"/>
        </w:rPr>
        <w:t xml:space="preserve">prognosis of </w:t>
      </w:r>
      <w:r w:rsidR="00646512" w:rsidRPr="001E3AFD">
        <w:rPr>
          <w:rFonts w:asciiTheme="majorBidi" w:eastAsia="Times New Roman" w:hAnsiTheme="majorBidi" w:cstheme="majorBidi"/>
          <w:color w:val="000000" w:themeColor="text1"/>
          <w:sz w:val="20"/>
          <w:szCs w:val="20"/>
        </w:rPr>
        <w:t>AITD</w:t>
      </w:r>
      <w:r w:rsidR="00CB5F76" w:rsidRPr="001E3AFD">
        <w:rPr>
          <w:rFonts w:asciiTheme="majorBidi" w:eastAsia="Times New Roman" w:hAnsiTheme="majorBidi" w:cstheme="majorBidi"/>
          <w:color w:val="000000" w:themeColor="text1"/>
          <w:sz w:val="20"/>
          <w:szCs w:val="20"/>
        </w:rPr>
        <w:t xml:space="preserve">. Although no significant difference in IL-10 levels was observed </w:t>
      </w:r>
      <w:r w:rsidR="002D3D20" w:rsidRPr="001E3AFD">
        <w:rPr>
          <w:rFonts w:asciiTheme="majorBidi" w:eastAsia="Times New Roman" w:hAnsiTheme="majorBidi" w:cstheme="majorBidi"/>
          <w:color w:val="000000" w:themeColor="text1"/>
          <w:sz w:val="20"/>
          <w:szCs w:val="20"/>
        </w:rPr>
        <w:t>among</w:t>
      </w:r>
      <w:r w:rsidR="00CB5F76" w:rsidRPr="001E3AFD">
        <w:rPr>
          <w:rFonts w:asciiTheme="majorBidi" w:eastAsia="Times New Roman" w:hAnsiTheme="majorBidi" w:cstheme="majorBidi"/>
          <w:color w:val="000000" w:themeColor="text1"/>
          <w:sz w:val="20"/>
          <w:szCs w:val="20"/>
        </w:rPr>
        <w:t xml:space="preserve"> groups</w:t>
      </w:r>
      <w:r w:rsidR="002D3D20" w:rsidRPr="001E3AFD">
        <w:rPr>
          <w:rFonts w:asciiTheme="majorBidi" w:eastAsia="Times New Roman" w:hAnsiTheme="majorBidi" w:cstheme="majorBidi"/>
          <w:color w:val="000000" w:themeColor="text1"/>
          <w:sz w:val="20"/>
          <w:szCs w:val="20"/>
        </w:rPr>
        <w:t xml:space="preserve"> (p˃0.05)</w:t>
      </w:r>
      <w:r w:rsidR="001B0738" w:rsidRPr="001E3AFD">
        <w:rPr>
          <w:rFonts w:asciiTheme="majorBidi" w:eastAsia="Times New Roman" w:hAnsiTheme="majorBidi" w:cstheme="majorBidi"/>
          <w:color w:val="000000" w:themeColor="text1"/>
          <w:sz w:val="20"/>
          <w:szCs w:val="20"/>
        </w:rPr>
        <w:t xml:space="preserve">. </w:t>
      </w:r>
      <w:r>
        <w:rPr>
          <w:rFonts w:asciiTheme="majorBidi" w:eastAsia="Times New Roman" w:hAnsiTheme="majorBidi" w:cstheme="majorBidi"/>
          <w:b/>
          <w:bCs/>
          <w:color w:val="000000" w:themeColor="text1"/>
          <w:sz w:val="20"/>
          <w:szCs w:val="20"/>
        </w:rPr>
        <w:t xml:space="preserve">Conclusion. </w:t>
      </w:r>
      <w:r w:rsidRPr="00AA0E39">
        <w:rPr>
          <w:rFonts w:asciiTheme="majorBidi" w:eastAsia="Times New Roman" w:hAnsiTheme="majorBidi" w:cstheme="majorBidi"/>
          <w:color w:val="000000" w:themeColor="text1"/>
          <w:sz w:val="20"/>
          <w:szCs w:val="20"/>
        </w:rPr>
        <w:t xml:space="preserve">Elevated </w:t>
      </w:r>
      <w:r w:rsidRPr="001E3AFD">
        <w:rPr>
          <w:rFonts w:asciiTheme="majorBidi" w:eastAsia="Times New Roman" w:hAnsiTheme="majorBidi" w:cstheme="majorBidi"/>
          <w:color w:val="000000" w:themeColor="text1"/>
          <w:sz w:val="20"/>
          <w:szCs w:val="20"/>
        </w:rPr>
        <w:t>Anti-</w:t>
      </w:r>
      <w:r w:rsidRPr="00AA0E39">
        <w:rPr>
          <w:rFonts w:asciiTheme="majorBidi" w:eastAsia="Times New Roman" w:hAnsiTheme="majorBidi" w:cstheme="majorBidi"/>
          <w:color w:val="000000" w:themeColor="text1"/>
          <w:sz w:val="20"/>
          <w:szCs w:val="20"/>
        </w:rPr>
        <w:t xml:space="preserve">TPO serves as a reliable prognostic biomarker for autoimmune thyroid conditions due to their strong association with disease pathophysiology, as confirmed by ROC analysis. Conversely, IL-10 levels lack diagnostic significance for these disorders, potentially because of complex interactions within the </w:t>
      </w:r>
      <w:r>
        <w:rPr>
          <w:rFonts w:asciiTheme="majorBidi" w:eastAsia="Times New Roman" w:hAnsiTheme="majorBidi" w:cstheme="majorBidi"/>
          <w:color w:val="000000" w:themeColor="text1"/>
          <w:sz w:val="20"/>
          <w:szCs w:val="20"/>
        </w:rPr>
        <w:t xml:space="preserve">inflammatory signaling pathway. </w:t>
      </w:r>
      <w:r w:rsidRPr="001E3AFD">
        <w:rPr>
          <w:rFonts w:asciiTheme="majorBidi" w:eastAsia="Times New Roman" w:hAnsiTheme="majorBidi" w:cstheme="majorBidi"/>
          <w:color w:val="000000" w:themeColor="text1"/>
          <w:sz w:val="20"/>
          <w:szCs w:val="20"/>
        </w:rPr>
        <w:t>The</w:t>
      </w:r>
      <w:r w:rsidR="00CB5F76" w:rsidRPr="001E3AFD">
        <w:rPr>
          <w:rFonts w:asciiTheme="majorBidi" w:eastAsia="Times New Roman" w:hAnsiTheme="majorBidi" w:cstheme="majorBidi"/>
          <w:color w:val="000000" w:themeColor="text1"/>
          <w:sz w:val="20"/>
          <w:szCs w:val="20"/>
        </w:rPr>
        <w:t xml:space="preserve"> study highlights </w:t>
      </w:r>
      <w:r w:rsidR="009318EB" w:rsidRPr="001E3AFD">
        <w:rPr>
          <w:rFonts w:asciiTheme="majorBidi" w:eastAsia="Times New Roman" w:hAnsiTheme="majorBidi" w:cstheme="majorBidi"/>
          <w:color w:val="000000" w:themeColor="text1"/>
          <w:sz w:val="20"/>
          <w:szCs w:val="20"/>
        </w:rPr>
        <w:t>t</w:t>
      </w:r>
      <w:r w:rsidR="00647802" w:rsidRPr="001E3AFD">
        <w:rPr>
          <w:rFonts w:asciiTheme="majorBidi" w:eastAsia="Times New Roman" w:hAnsiTheme="majorBidi" w:cstheme="majorBidi"/>
          <w:color w:val="000000" w:themeColor="text1"/>
          <w:sz w:val="20"/>
          <w:szCs w:val="20"/>
        </w:rPr>
        <w:t>hat</w:t>
      </w:r>
      <w:r w:rsidR="009318EB" w:rsidRPr="001E3AFD">
        <w:rPr>
          <w:rFonts w:asciiTheme="majorBidi" w:eastAsia="Times New Roman" w:hAnsiTheme="majorBidi" w:cstheme="majorBidi"/>
          <w:color w:val="000000" w:themeColor="text1"/>
          <w:sz w:val="20"/>
          <w:szCs w:val="20"/>
        </w:rPr>
        <w:t xml:space="preserve"> further research is warranted to elucidate the potential role of IL-10 in the pathophysiology of thyroid disorders, particularly in the context of chronic inflammation.</w:t>
      </w:r>
    </w:p>
    <w:p w14:paraId="6D7E772D" w14:textId="77777777" w:rsidR="00AA0E39" w:rsidRDefault="00AA0E39" w:rsidP="00BA14A2">
      <w:pPr>
        <w:spacing w:after="0" w:line="252" w:lineRule="auto"/>
        <w:jc w:val="both"/>
        <w:rPr>
          <w:rFonts w:asciiTheme="majorBidi" w:eastAsia="Times New Roman" w:hAnsiTheme="majorBidi" w:cstheme="majorBidi"/>
          <w:sz w:val="20"/>
          <w:szCs w:val="20"/>
        </w:rPr>
      </w:pPr>
    </w:p>
    <w:p w14:paraId="75386A74" w14:textId="64170303" w:rsidR="004938F2" w:rsidRPr="00192491" w:rsidRDefault="004938F2" w:rsidP="00BA14A2">
      <w:pPr>
        <w:spacing w:after="0" w:line="252" w:lineRule="auto"/>
        <w:jc w:val="both"/>
        <w:rPr>
          <w:rFonts w:asciiTheme="majorBidi" w:hAnsiTheme="majorBidi" w:cstheme="majorBidi"/>
          <w:sz w:val="20"/>
          <w:szCs w:val="20"/>
          <w:lang w:bidi="ar-IQ"/>
        </w:rPr>
      </w:pPr>
      <w:r w:rsidRPr="00192491">
        <w:rPr>
          <w:rFonts w:asciiTheme="majorBidi" w:hAnsiTheme="majorBidi" w:cstheme="majorBidi"/>
          <w:b/>
          <w:bCs/>
          <w:sz w:val="20"/>
          <w:szCs w:val="20"/>
          <w:lang w:bidi="ar-IQ"/>
        </w:rPr>
        <w:t>Keywords:</w:t>
      </w:r>
      <w:r w:rsidR="00E4117A" w:rsidRPr="00192491">
        <w:rPr>
          <w:rFonts w:asciiTheme="majorBidi" w:hAnsiTheme="majorBidi" w:cstheme="majorBidi"/>
          <w:sz w:val="20"/>
          <w:szCs w:val="20"/>
          <w:lang w:bidi="ar-IQ"/>
        </w:rPr>
        <w:t xml:space="preserve"> Thyroid Disorder</w:t>
      </w:r>
      <w:r w:rsidR="00B51C15" w:rsidRPr="00192491">
        <w:rPr>
          <w:rFonts w:asciiTheme="majorBidi" w:hAnsiTheme="majorBidi" w:cstheme="majorBidi"/>
          <w:sz w:val="20"/>
          <w:szCs w:val="20"/>
          <w:lang w:bidi="ar-IQ"/>
        </w:rPr>
        <w:t>s, Anti-TPO</w:t>
      </w:r>
      <w:r w:rsidR="00E4117A" w:rsidRPr="00192491">
        <w:rPr>
          <w:rFonts w:asciiTheme="majorBidi" w:hAnsiTheme="majorBidi" w:cstheme="majorBidi"/>
          <w:sz w:val="20"/>
          <w:szCs w:val="20"/>
          <w:lang w:bidi="ar-IQ"/>
        </w:rPr>
        <w:t xml:space="preserve">, </w:t>
      </w:r>
      <w:r w:rsidR="00B51C15" w:rsidRPr="00192491">
        <w:rPr>
          <w:rFonts w:asciiTheme="majorBidi" w:hAnsiTheme="majorBidi" w:cstheme="majorBidi"/>
          <w:sz w:val="20"/>
          <w:szCs w:val="20"/>
          <w:lang w:bidi="ar-IQ"/>
        </w:rPr>
        <w:t>IL-10</w:t>
      </w:r>
      <w:r w:rsidR="00E4117A" w:rsidRPr="00192491">
        <w:rPr>
          <w:rFonts w:asciiTheme="majorBidi" w:hAnsiTheme="majorBidi" w:cstheme="majorBidi"/>
          <w:sz w:val="20"/>
          <w:szCs w:val="20"/>
          <w:lang w:bidi="ar-IQ"/>
        </w:rPr>
        <w:t xml:space="preserve">, </w:t>
      </w:r>
      <w:r w:rsidR="00B51C15" w:rsidRPr="00192491">
        <w:rPr>
          <w:rFonts w:asciiTheme="majorBidi" w:hAnsiTheme="majorBidi" w:cstheme="majorBidi"/>
          <w:sz w:val="20"/>
          <w:szCs w:val="20"/>
          <w:lang w:bidi="ar-IQ"/>
        </w:rPr>
        <w:t>autoimmune thyroid disease</w:t>
      </w:r>
      <w:r w:rsidR="00E4117A" w:rsidRPr="00192491">
        <w:rPr>
          <w:rFonts w:asciiTheme="majorBidi" w:hAnsiTheme="majorBidi" w:cstheme="majorBidi"/>
          <w:sz w:val="20"/>
          <w:szCs w:val="20"/>
          <w:lang w:bidi="ar-IQ"/>
        </w:rPr>
        <w:t>.</w:t>
      </w:r>
    </w:p>
    <w:p w14:paraId="61DB8831" w14:textId="7A19749C" w:rsidR="00B90075" w:rsidRPr="00192491" w:rsidRDefault="00B90075" w:rsidP="00BA14A2">
      <w:pPr>
        <w:spacing w:after="0" w:line="252" w:lineRule="auto"/>
        <w:jc w:val="both"/>
        <w:rPr>
          <w:rFonts w:asciiTheme="majorBidi" w:hAnsiTheme="majorBidi" w:cstheme="majorBidi"/>
          <w:sz w:val="20"/>
          <w:szCs w:val="20"/>
          <w:lang w:bidi="ar-IQ"/>
        </w:rPr>
      </w:pPr>
    </w:p>
    <w:p w14:paraId="2E04C589" w14:textId="77777777" w:rsidR="00796091" w:rsidRPr="005173D4" w:rsidRDefault="00B90075" w:rsidP="00BA14A2">
      <w:pPr>
        <w:spacing w:after="0" w:line="252" w:lineRule="auto"/>
        <w:jc w:val="both"/>
        <w:rPr>
          <w:rFonts w:asciiTheme="majorBidi" w:hAnsiTheme="majorBidi" w:cstheme="majorBidi"/>
          <w:sz w:val="20"/>
          <w:szCs w:val="20"/>
        </w:rPr>
      </w:pPr>
      <w:r w:rsidRPr="00192491">
        <w:rPr>
          <w:rFonts w:asciiTheme="majorBidi" w:hAnsiTheme="majorBidi" w:cstheme="majorBidi"/>
          <w:b/>
          <w:bCs/>
          <w:sz w:val="20"/>
          <w:szCs w:val="20"/>
        </w:rPr>
        <w:t xml:space="preserve">Corresponding author: </w:t>
      </w:r>
      <w:r w:rsidRPr="005173D4">
        <w:rPr>
          <w:rFonts w:asciiTheme="majorBidi" w:hAnsiTheme="majorBidi" w:cstheme="majorBidi"/>
          <w:sz w:val="20"/>
          <w:szCs w:val="20"/>
        </w:rPr>
        <w:t xml:space="preserve">(E-mail: </w:t>
      </w:r>
      <w:r w:rsidR="00A17C9A" w:rsidRPr="005173D4">
        <w:rPr>
          <w:rFonts w:asciiTheme="majorBidi" w:hAnsiTheme="majorBidi" w:cstheme="majorBidi"/>
          <w:sz w:val="20"/>
          <w:szCs w:val="20"/>
        </w:rPr>
        <w:t xml:space="preserve">basma.ahmed2300m@ige.uobaghdad.edu.iq, </w:t>
      </w:r>
    </w:p>
    <w:p w14:paraId="3D9B718B" w14:textId="5FB496A9" w:rsidR="00B90075" w:rsidRPr="005173D4" w:rsidRDefault="00A17C9A" w:rsidP="00BA14A2">
      <w:pPr>
        <w:spacing w:after="0" w:line="252" w:lineRule="auto"/>
        <w:jc w:val="both"/>
        <w:rPr>
          <w:rFonts w:asciiTheme="majorBidi" w:hAnsiTheme="majorBidi" w:cstheme="majorBidi"/>
          <w:sz w:val="20"/>
          <w:szCs w:val="20"/>
        </w:rPr>
      </w:pPr>
      <w:hyperlink r:id="rId8" w:history="1">
        <w:r w:rsidRPr="005173D4">
          <w:rPr>
            <w:rFonts w:asciiTheme="majorBidi" w:hAnsiTheme="majorBidi" w:cstheme="majorBidi"/>
            <w:sz w:val="20"/>
            <w:szCs w:val="20"/>
          </w:rPr>
          <w:t>Dr.Hamssa@ige.uobaghdad.edu.iq</w:t>
        </w:r>
      </w:hyperlink>
      <w:r w:rsidR="00B90075" w:rsidRPr="005173D4">
        <w:rPr>
          <w:rFonts w:asciiTheme="majorBidi" w:hAnsiTheme="majorBidi" w:cstheme="majorBidi"/>
          <w:sz w:val="20"/>
          <w:szCs w:val="20"/>
        </w:rPr>
        <w:t>).</w:t>
      </w:r>
    </w:p>
    <w:p w14:paraId="56904339" w14:textId="77777777" w:rsidR="00B90075" w:rsidRPr="00A23055" w:rsidRDefault="00B90075" w:rsidP="00BA14A2">
      <w:pPr>
        <w:spacing w:after="0" w:line="252" w:lineRule="auto"/>
        <w:jc w:val="both"/>
        <w:rPr>
          <w:rFonts w:asciiTheme="majorBidi" w:hAnsiTheme="majorBidi" w:cstheme="majorBidi"/>
          <w:sz w:val="24"/>
          <w:szCs w:val="24"/>
          <w:lang w:bidi="ar-IQ"/>
        </w:rPr>
      </w:pPr>
    </w:p>
    <w:p w14:paraId="5E2EAB86" w14:textId="77777777" w:rsidR="009F0C04" w:rsidRDefault="009F0C04" w:rsidP="00BA14A2">
      <w:pPr>
        <w:spacing w:after="0" w:line="252" w:lineRule="auto"/>
        <w:jc w:val="both"/>
        <w:rPr>
          <w:rFonts w:asciiTheme="majorBidi" w:hAnsiTheme="majorBidi" w:cstheme="majorBidi"/>
          <w:b/>
          <w:bCs/>
          <w:sz w:val="24"/>
          <w:szCs w:val="24"/>
          <w:lang w:bidi="ar-IQ"/>
        </w:rPr>
        <w:sectPr w:rsidR="009F0C04" w:rsidSect="005235A5">
          <w:headerReference w:type="default" r:id="rId9"/>
          <w:footerReference w:type="default" r:id="rId10"/>
          <w:headerReference w:type="first" r:id="rId11"/>
          <w:pgSz w:w="11906" w:h="16838" w:code="9"/>
          <w:pgMar w:top="1701" w:right="1701" w:bottom="1701" w:left="1701" w:header="720" w:footer="720" w:gutter="0"/>
          <w:cols w:space="720"/>
          <w:titlePg/>
          <w:docGrid w:linePitch="360"/>
        </w:sectPr>
      </w:pPr>
    </w:p>
    <w:p w14:paraId="1058E28C" w14:textId="7B71F771" w:rsidR="00E4117A" w:rsidRPr="00A23055" w:rsidRDefault="00E4117A" w:rsidP="00BA14A2">
      <w:pPr>
        <w:spacing w:after="0" w:line="252" w:lineRule="auto"/>
        <w:jc w:val="both"/>
        <w:rPr>
          <w:rFonts w:asciiTheme="majorBidi" w:hAnsiTheme="majorBidi" w:cstheme="majorBidi"/>
          <w:b/>
          <w:bCs/>
          <w:sz w:val="24"/>
          <w:szCs w:val="24"/>
          <w:rtl/>
          <w:lang w:bidi="ar-IQ"/>
        </w:rPr>
      </w:pPr>
      <w:r w:rsidRPr="00A23055">
        <w:rPr>
          <w:rFonts w:asciiTheme="majorBidi" w:hAnsiTheme="majorBidi" w:cstheme="majorBidi"/>
          <w:b/>
          <w:bCs/>
          <w:sz w:val="24"/>
          <w:szCs w:val="24"/>
          <w:lang w:bidi="ar-IQ"/>
        </w:rPr>
        <w:t>Introduction</w:t>
      </w:r>
    </w:p>
    <w:p w14:paraId="3CF7D8D2" w14:textId="524EC2C1" w:rsidR="00EB3531" w:rsidRPr="00A23055" w:rsidRDefault="009318EB" w:rsidP="00BA14A2">
      <w:pPr>
        <w:spacing w:after="0" w:line="252" w:lineRule="auto"/>
        <w:ind w:firstLine="426"/>
        <w:jc w:val="both"/>
        <w:rPr>
          <w:rFonts w:asciiTheme="majorBidi" w:hAnsiTheme="majorBidi" w:cstheme="majorBidi"/>
          <w:sz w:val="24"/>
          <w:szCs w:val="24"/>
        </w:rPr>
      </w:pPr>
      <w:r w:rsidRPr="00A23055">
        <w:rPr>
          <w:rFonts w:asciiTheme="majorBidi" w:hAnsiTheme="majorBidi" w:cstheme="majorBidi"/>
          <w:sz w:val="24"/>
          <w:szCs w:val="24"/>
        </w:rPr>
        <w:t xml:space="preserve">The fundamental endocrine glands that collectively make up the well-established endocrine system are the pituitary, adrenal, parathyroid, thyroid, pancreas, and gonads </w:t>
      </w:r>
      <w:r w:rsidR="006D25DF" w:rsidRPr="00A23055">
        <w:rPr>
          <w:rFonts w:asciiTheme="majorBidi" w:hAnsiTheme="majorBidi" w:cstheme="majorBidi"/>
          <w:sz w:val="24"/>
          <w:szCs w:val="24"/>
        </w:rPr>
        <w:t>(1)</w:t>
      </w:r>
      <w:r w:rsidR="00961453" w:rsidRPr="00A23055">
        <w:rPr>
          <w:rFonts w:asciiTheme="majorBidi" w:hAnsiTheme="majorBidi" w:cstheme="majorBidi"/>
          <w:sz w:val="24"/>
          <w:szCs w:val="24"/>
        </w:rPr>
        <w:t>.</w:t>
      </w:r>
      <w:r w:rsidR="00EB3531" w:rsidRPr="00A23055">
        <w:rPr>
          <w:rFonts w:asciiTheme="majorBidi" w:hAnsiTheme="majorBidi" w:cstheme="majorBidi"/>
          <w:sz w:val="24"/>
          <w:szCs w:val="24"/>
        </w:rPr>
        <w:t xml:space="preserve"> </w:t>
      </w:r>
      <w:r w:rsidRPr="00A23055">
        <w:rPr>
          <w:rFonts w:asciiTheme="majorBidi" w:hAnsiTheme="majorBidi" w:cstheme="majorBidi"/>
          <w:sz w:val="24"/>
          <w:szCs w:val="24"/>
        </w:rPr>
        <w:t>Thyroid-stimulating hormone (TSH) is produced by the thyroid and is regulated by the pituitary gland.</w:t>
      </w:r>
      <w:r w:rsidR="00BF5242" w:rsidRPr="00A23055">
        <w:rPr>
          <w:rFonts w:asciiTheme="majorBidi" w:hAnsiTheme="majorBidi" w:cstheme="majorBidi"/>
          <w:sz w:val="24"/>
          <w:szCs w:val="24"/>
        </w:rPr>
        <w:t xml:space="preserve"> </w:t>
      </w:r>
      <w:r w:rsidRPr="00A23055">
        <w:rPr>
          <w:rFonts w:asciiTheme="majorBidi" w:hAnsiTheme="majorBidi" w:cstheme="majorBidi"/>
          <w:sz w:val="24"/>
          <w:szCs w:val="24"/>
        </w:rPr>
        <w:t xml:space="preserve">The thyroid gland receives instructions </w:t>
      </w:r>
      <w:r w:rsidR="00647802" w:rsidRPr="00A23055">
        <w:rPr>
          <w:rFonts w:asciiTheme="majorBidi" w:hAnsiTheme="majorBidi" w:cstheme="majorBidi"/>
          <w:sz w:val="24"/>
          <w:szCs w:val="24"/>
        </w:rPr>
        <w:t>from</w:t>
      </w:r>
      <w:r w:rsidRPr="00A23055">
        <w:rPr>
          <w:rFonts w:asciiTheme="majorBidi" w:hAnsiTheme="majorBidi" w:cstheme="majorBidi"/>
          <w:sz w:val="24"/>
          <w:szCs w:val="24"/>
        </w:rPr>
        <w:t xml:space="preserve"> TSH to produce and release a suitable quantity of hormone </w:t>
      </w:r>
      <w:r w:rsidR="006D25DF" w:rsidRPr="00A23055">
        <w:rPr>
          <w:rFonts w:asciiTheme="majorBidi" w:hAnsiTheme="majorBidi" w:cstheme="majorBidi"/>
          <w:sz w:val="24"/>
          <w:szCs w:val="24"/>
        </w:rPr>
        <w:t>(2)</w:t>
      </w:r>
      <w:r w:rsidR="00EB3531" w:rsidRPr="00A23055">
        <w:rPr>
          <w:rFonts w:asciiTheme="majorBidi" w:hAnsiTheme="majorBidi" w:cstheme="majorBidi"/>
          <w:sz w:val="24"/>
          <w:szCs w:val="24"/>
        </w:rPr>
        <w:t>.</w:t>
      </w:r>
      <w:r w:rsidR="004C7BD9" w:rsidRPr="00A23055">
        <w:rPr>
          <w:rFonts w:asciiTheme="majorBidi" w:hAnsiTheme="majorBidi" w:cstheme="majorBidi"/>
          <w:sz w:val="24"/>
          <w:szCs w:val="24"/>
        </w:rPr>
        <w:t xml:space="preserve"> </w:t>
      </w:r>
      <w:r w:rsidR="00EB3531" w:rsidRPr="00A23055">
        <w:rPr>
          <w:rFonts w:asciiTheme="majorBidi" w:hAnsiTheme="majorBidi" w:cstheme="majorBidi"/>
          <w:sz w:val="24"/>
          <w:szCs w:val="24"/>
        </w:rPr>
        <w:t xml:space="preserve">The thyroid produces three hormones that are important for regulating body temperature, energy </w:t>
      </w:r>
      <w:r w:rsidR="00EB3531" w:rsidRPr="00A23055">
        <w:rPr>
          <w:rFonts w:asciiTheme="majorBidi" w:hAnsiTheme="majorBidi" w:cstheme="majorBidi"/>
          <w:sz w:val="24"/>
          <w:szCs w:val="24"/>
        </w:rPr>
        <w:t>production, weight, hair and nail growth, and mens</w:t>
      </w:r>
      <w:r w:rsidR="004C7BD9" w:rsidRPr="00A23055">
        <w:rPr>
          <w:rFonts w:asciiTheme="majorBidi" w:hAnsiTheme="majorBidi" w:cstheme="majorBidi"/>
          <w:sz w:val="24"/>
          <w:szCs w:val="24"/>
        </w:rPr>
        <w:t>trua</w:t>
      </w:r>
      <w:r w:rsidR="00EB3531" w:rsidRPr="00A23055">
        <w:rPr>
          <w:rFonts w:asciiTheme="majorBidi" w:hAnsiTheme="majorBidi" w:cstheme="majorBidi"/>
          <w:sz w:val="24"/>
          <w:szCs w:val="24"/>
        </w:rPr>
        <w:t xml:space="preserve">l cycle maintenance. The feedback mechanism </w:t>
      </w:r>
      <w:r w:rsidR="004C7BD9" w:rsidRPr="00A23055">
        <w:rPr>
          <w:rFonts w:asciiTheme="majorBidi" w:hAnsiTheme="majorBidi" w:cstheme="majorBidi"/>
          <w:sz w:val="24"/>
          <w:szCs w:val="24"/>
        </w:rPr>
        <w:t>controls</w:t>
      </w:r>
      <w:r w:rsidR="00EB3531" w:rsidRPr="00A23055">
        <w:rPr>
          <w:rFonts w:asciiTheme="majorBidi" w:hAnsiTheme="majorBidi" w:cstheme="majorBidi"/>
          <w:sz w:val="24"/>
          <w:szCs w:val="24"/>
        </w:rPr>
        <w:t xml:space="preserve"> </w:t>
      </w:r>
      <w:r w:rsidR="004C7BD9" w:rsidRPr="00A23055">
        <w:rPr>
          <w:rFonts w:asciiTheme="majorBidi" w:hAnsiTheme="majorBidi" w:cstheme="majorBidi"/>
          <w:sz w:val="24"/>
          <w:szCs w:val="24"/>
        </w:rPr>
        <w:t xml:space="preserve">the </w:t>
      </w:r>
      <w:r w:rsidR="00EB3531" w:rsidRPr="00A23055">
        <w:rPr>
          <w:rFonts w:asciiTheme="majorBidi" w:hAnsiTheme="majorBidi" w:cstheme="majorBidi"/>
          <w:sz w:val="24"/>
          <w:szCs w:val="24"/>
        </w:rPr>
        <w:t>manufacturing of these hormones</w:t>
      </w:r>
      <w:r w:rsidR="006D25DF" w:rsidRPr="00A23055">
        <w:rPr>
          <w:rFonts w:asciiTheme="majorBidi" w:hAnsiTheme="majorBidi" w:cstheme="majorBidi"/>
          <w:sz w:val="24"/>
          <w:szCs w:val="24"/>
        </w:rPr>
        <w:t xml:space="preserve"> (3)</w:t>
      </w:r>
      <w:r w:rsidR="00EB3531" w:rsidRPr="00A23055">
        <w:rPr>
          <w:rFonts w:asciiTheme="majorBidi" w:hAnsiTheme="majorBidi" w:cstheme="majorBidi"/>
          <w:sz w:val="24"/>
          <w:szCs w:val="24"/>
        </w:rPr>
        <w:t>.</w:t>
      </w:r>
      <w:r w:rsidR="004C7BD9" w:rsidRPr="00A23055">
        <w:rPr>
          <w:rFonts w:asciiTheme="majorBidi" w:hAnsiTheme="majorBidi" w:cstheme="majorBidi"/>
          <w:sz w:val="24"/>
          <w:szCs w:val="24"/>
        </w:rPr>
        <w:t xml:space="preserve"> </w:t>
      </w:r>
      <w:r w:rsidR="00EB3531" w:rsidRPr="00A23055">
        <w:rPr>
          <w:rFonts w:asciiTheme="majorBidi" w:hAnsiTheme="majorBidi" w:cstheme="majorBidi"/>
          <w:sz w:val="24"/>
          <w:szCs w:val="24"/>
        </w:rPr>
        <w:t>Thyroid dysfunction rank</w:t>
      </w:r>
      <w:r w:rsidR="004C7BD9" w:rsidRPr="00A23055">
        <w:rPr>
          <w:rFonts w:asciiTheme="majorBidi" w:hAnsiTheme="majorBidi" w:cstheme="majorBidi"/>
          <w:sz w:val="24"/>
          <w:szCs w:val="24"/>
        </w:rPr>
        <w:t>s</w:t>
      </w:r>
      <w:r w:rsidR="00EB3531" w:rsidRPr="00A23055">
        <w:rPr>
          <w:rFonts w:asciiTheme="majorBidi" w:hAnsiTheme="majorBidi" w:cstheme="majorBidi"/>
          <w:sz w:val="24"/>
          <w:szCs w:val="24"/>
        </w:rPr>
        <w:t xml:space="preserve"> among the most prevalent endocrine conditions in the globe. Patients’ sexual health and function as well as quality of life, are known to </w:t>
      </w:r>
      <w:r w:rsidR="006D25DF" w:rsidRPr="00A23055">
        <w:rPr>
          <w:rFonts w:asciiTheme="majorBidi" w:hAnsiTheme="majorBidi" w:cstheme="majorBidi"/>
          <w:sz w:val="24"/>
          <w:szCs w:val="24"/>
        </w:rPr>
        <w:t>be affected by thyroid diseases (4)</w:t>
      </w:r>
      <w:r w:rsidR="00961453" w:rsidRPr="00A23055">
        <w:rPr>
          <w:rFonts w:asciiTheme="majorBidi" w:hAnsiTheme="majorBidi" w:cstheme="majorBidi"/>
          <w:sz w:val="24"/>
          <w:szCs w:val="24"/>
        </w:rPr>
        <w:t xml:space="preserve">. </w:t>
      </w:r>
      <w:r w:rsidR="00EB3531" w:rsidRPr="00A23055">
        <w:rPr>
          <w:rFonts w:asciiTheme="majorBidi" w:hAnsiTheme="majorBidi" w:cstheme="majorBidi"/>
          <w:sz w:val="24"/>
          <w:szCs w:val="24"/>
        </w:rPr>
        <w:t xml:space="preserve">Thyroid </w:t>
      </w:r>
      <w:bookmarkStart w:id="0" w:name="_Hlk187771102"/>
      <w:r w:rsidR="00EB3531" w:rsidRPr="00A23055">
        <w:rPr>
          <w:rFonts w:asciiTheme="majorBidi" w:hAnsiTheme="majorBidi" w:cstheme="majorBidi"/>
          <w:sz w:val="24"/>
          <w:szCs w:val="24"/>
        </w:rPr>
        <w:t>dysfunction</w:t>
      </w:r>
      <w:bookmarkEnd w:id="0"/>
      <w:r w:rsidR="00EB3531" w:rsidRPr="00A23055">
        <w:rPr>
          <w:rFonts w:asciiTheme="majorBidi" w:hAnsiTheme="majorBidi" w:cstheme="majorBidi"/>
          <w:sz w:val="24"/>
          <w:szCs w:val="24"/>
        </w:rPr>
        <w:t xml:space="preserve"> can show up as either hypothyroidism or hyperthyroidism which can have a significant impact on a person’s general </w:t>
      </w:r>
      <w:r w:rsidR="00EB3531" w:rsidRPr="00A23055">
        <w:rPr>
          <w:rFonts w:asciiTheme="majorBidi" w:hAnsiTheme="majorBidi" w:cstheme="majorBidi"/>
          <w:sz w:val="24"/>
          <w:szCs w:val="24"/>
        </w:rPr>
        <w:lastRenderedPageBreak/>
        <w:t>health</w:t>
      </w:r>
      <w:r w:rsidR="006D25DF" w:rsidRPr="00A23055">
        <w:rPr>
          <w:rFonts w:asciiTheme="majorBidi" w:hAnsiTheme="majorBidi" w:cstheme="majorBidi"/>
          <w:sz w:val="24"/>
          <w:szCs w:val="24"/>
        </w:rPr>
        <w:t xml:space="preserve"> (5)</w:t>
      </w:r>
      <w:r w:rsidR="00EB3531" w:rsidRPr="00A23055">
        <w:rPr>
          <w:rFonts w:asciiTheme="majorBidi" w:hAnsiTheme="majorBidi" w:cstheme="majorBidi"/>
          <w:sz w:val="24"/>
          <w:szCs w:val="24"/>
        </w:rPr>
        <w:t xml:space="preserve">. Thyroid dysfunction </w:t>
      </w:r>
      <w:r w:rsidR="004C7BD9" w:rsidRPr="00A23055">
        <w:rPr>
          <w:rFonts w:asciiTheme="majorBidi" w:hAnsiTheme="majorBidi" w:cstheme="majorBidi"/>
          <w:sz w:val="24"/>
          <w:szCs w:val="24"/>
        </w:rPr>
        <w:t>is</w:t>
      </w:r>
      <w:r w:rsidR="00EB3531" w:rsidRPr="00A23055">
        <w:rPr>
          <w:rFonts w:asciiTheme="majorBidi" w:hAnsiTheme="majorBidi" w:cstheme="majorBidi"/>
          <w:sz w:val="24"/>
          <w:szCs w:val="24"/>
        </w:rPr>
        <w:t xml:space="preserve"> caused by both genetic and environmental factor</w:t>
      </w:r>
      <w:r w:rsidR="004C7BD9" w:rsidRPr="00A23055">
        <w:rPr>
          <w:rFonts w:asciiTheme="majorBidi" w:hAnsiTheme="majorBidi" w:cstheme="majorBidi"/>
          <w:sz w:val="24"/>
          <w:szCs w:val="24"/>
        </w:rPr>
        <w:t>s</w:t>
      </w:r>
      <w:r w:rsidR="006D25DF" w:rsidRPr="00A23055">
        <w:rPr>
          <w:rFonts w:asciiTheme="majorBidi" w:hAnsiTheme="majorBidi" w:cstheme="majorBidi"/>
          <w:sz w:val="24"/>
          <w:szCs w:val="24"/>
        </w:rPr>
        <w:t xml:space="preserve"> (6)</w:t>
      </w:r>
      <w:r w:rsidR="00EB3531" w:rsidRPr="00A23055">
        <w:rPr>
          <w:rFonts w:asciiTheme="majorBidi" w:hAnsiTheme="majorBidi" w:cstheme="majorBidi"/>
          <w:sz w:val="24"/>
          <w:szCs w:val="24"/>
        </w:rPr>
        <w:t>.</w:t>
      </w:r>
    </w:p>
    <w:p w14:paraId="0B45C077" w14:textId="019289F0" w:rsidR="00EB3531" w:rsidRPr="00A23055" w:rsidRDefault="00EB3531" w:rsidP="00646512">
      <w:pPr>
        <w:spacing w:after="0" w:line="252" w:lineRule="auto"/>
        <w:ind w:firstLine="426"/>
        <w:jc w:val="both"/>
        <w:rPr>
          <w:rFonts w:asciiTheme="majorBidi" w:hAnsiTheme="majorBidi" w:cstheme="majorBidi"/>
          <w:sz w:val="24"/>
          <w:szCs w:val="24"/>
        </w:rPr>
      </w:pPr>
      <w:r w:rsidRPr="00A23055">
        <w:rPr>
          <w:rFonts w:asciiTheme="majorBidi" w:hAnsiTheme="majorBidi" w:cstheme="majorBidi"/>
          <w:sz w:val="24"/>
          <w:szCs w:val="24"/>
        </w:rPr>
        <w:t xml:space="preserve">Thyroid hormones (T3 and T4) are produced with the help of iodine. As a result, a lack of iodine causes a decrease in T3 and T4 synthesis, resulting in hypothyroidism. </w:t>
      </w:r>
      <w:r w:rsidR="004C7BD9" w:rsidRPr="00A23055">
        <w:rPr>
          <w:rFonts w:asciiTheme="majorBidi" w:hAnsiTheme="majorBidi" w:cstheme="majorBidi"/>
          <w:sz w:val="24"/>
          <w:szCs w:val="24"/>
        </w:rPr>
        <w:t>H</w:t>
      </w:r>
      <w:r w:rsidRPr="00A23055">
        <w:rPr>
          <w:rFonts w:asciiTheme="majorBidi" w:hAnsiTheme="majorBidi" w:cstheme="majorBidi"/>
          <w:sz w:val="24"/>
          <w:szCs w:val="24"/>
        </w:rPr>
        <w:t>igh iodine intakes cause an increas</w:t>
      </w:r>
      <w:r w:rsidR="004C7BD9" w:rsidRPr="00A23055">
        <w:rPr>
          <w:rFonts w:asciiTheme="majorBidi" w:hAnsiTheme="majorBidi" w:cstheme="majorBidi"/>
          <w:sz w:val="24"/>
          <w:szCs w:val="24"/>
        </w:rPr>
        <w:t>e</w:t>
      </w:r>
      <w:r w:rsidRPr="00A23055">
        <w:rPr>
          <w:rFonts w:asciiTheme="majorBidi" w:hAnsiTheme="majorBidi" w:cstheme="majorBidi"/>
          <w:sz w:val="24"/>
          <w:szCs w:val="24"/>
        </w:rPr>
        <w:t xml:space="preserve"> in the rate of T3 and T4 production leading to hyperthyroidism</w:t>
      </w:r>
      <w:r w:rsidR="006D25DF" w:rsidRPr="00A23055">
        <w:rPr>
          <w:rFonts w:asciiTheme="majorBidi" w:hAnsiTheme="majorBidi" w:cstheme="majorBidi"/>
          <w:sz w:val="24"/>
          <w:szCs w:val="24"/>
        </w:rPr>
        <w:t xml:space="preserve"> (7)</w:t>
      </w:r>
      <w:r w:rsidR="00551B30" w:rsidRPr="00A23055">
        <w:rPr>
          <w:rFonts w:asciiTheme="majorBidi" w:hAnsiTheme="majorBidi" w:cstheme="majorBidi"/>
          <w:sz w:val="24"/>
          <w:szCs w:val="24"/>
        </w:rPr>
        <w:t>.</w:t>
      </w:r>
      <w:r w:rsidRPr="00A23055">
        <w:rPr>
          <w:rFonts w:asciiTheme="majorBidi" w:hAnsiTheme="majorBidi" w:cstheme="majorBidi"/>
          <w:b/>
          <w:bCs/>
          <w:sz w:val="24"/>
          <w:szCs w:val="24"/>
        </w:rPr>
        <w:t xml:space="preserve"> </w:t>
      </w:r>
      <w:r w:rsidRPr="00A23055">
        <w:rPr>
          <w:rFonts w:asciiTheme="majorBidi" w:hAnsiTheme="majorBidi" w:cstheme="majorBidi"/>
          <w:sz w:val="24"/>
          <w:szCs w:val="24"/>
        </w:rPr>
        <w:t xml:space="preserve">Thyroid dysfunction </w:t>
      </w:r>
      <w:r w:rsidR="004C7BD9" w:rsidRPr="00A23055">
        <w:rPr>
          <w:rFonts w:asciiTheme="majorBidi" w:hAnsiTheme="majorBidi" w:cstheme="majorBidi"/>
          <w:sz w:val="24"/>
          <w:szCs w:val="24"/>
        </w:rPr>
        <w:t>is</w:t>
      </w:r>
      <w:r w:rsidRPr="00A23055">
        <w:rPr>
          <w:rFonts w:asciiTheme="majorBidi" w:hAnsiTheme="majorBidi" w:cstheme="majorBidi"/>
          <w:sz w:val="24"/>
          <w:szCs w:val="24"/>
        </w:rPr>
        <w:t xml:space="preserve"> prevalent in </w:t>
      </w:r>
      <w:r w:rsidR="00646512" w:rsidRPr="00FC7157">
        <w:rPr>
          <w:rFonts w:asciiTheme="majorBidi" w:hAnsiTheme="majorBidi" w:cstheme="majorBidi"/>
          <w:color w:val="000000" w:themeColor="text1"/>
          <w:sz w:val="24"/>
          <w:szCs w:val="24"/>
        </w:rPr>
        <w:t>females</w:t>
      </w:r>
      <w:r w:rsidRPr="00FC7157">
        <w:rPr>
          <w:rFonts w:asciiTheme="majorBidi" w:hAnsiTheme="majorBidi" w:cstheme="majorBidi"/>
          <w:color w:val="000000" w:themeColor="text1"/>
          <w:sz w:val="24"/>
          <w:szCs w:val="24"/>
        </w:rPr>
        <w:t xml:space="preserve"> </w:t>
      </w:r>
      <w:r w:rsidRPr="00A23055">
        <w:rPr>
          <w:rFonts w:asciiTheme="majorBidi" w:hAnsiTheme="majorBidi" w:cstheme="majorBidi"/>
          <w:sz w:val="24"/>
          <w:szCs w:val="24"/>
        </w:rPr>
        <w:t>more than in male</w:t>
      </w:r>
      <w:r w:rsidR="004C7BD9" w:rsidRPr="00A23055">
        <w:rPr>
          <w:rFonts w:asciiTheme="majorBidi" w:hAnsiTheme="majorBidi" w:cstheme="majorBidi"/>
          <w:sz w:val="24"/>
          <w:szCs w:val="24"/>
        </w:rPr>
        <w:t>s</w:t>
      </w:r>
      <w:r w:rsidRPr="00A23055">
        <w:rPr>
          <w:rFonts w:asciiTheme="majorBidi" w:hAnsiTheme="majorBidi" w:cstheme="majorBidi"/>
          <w:sz w:val="24"/>
          <w:szCs w:val="24"/>
        </w:rPr>
        <w:t xml:space="preserve"> and can range from inflammatory lesions to neoplastic tum</w:t>
      </w:r>
      <w:r w:rsidR="004C7BD9" w:rsidRPr="00A23055">
        <w:rPr>
          <w:rFonts w:asciiTheme="majorBidi" w:hAnsiTheme="majorBidi" w:cstheme="majorBidi"/>
          <w:sz w:val="24"/>
          <w:szCs w:val="24"/>
        </w:rPr>
        <w:t>ors</w:t>
      </w:r>
      <w:r w:rsidR="006D25DF" w:rsidRPr="00A23055">
        <w:rPr>
          <w:rFonts w:asciiTheme="majorBidi" w:hAnsiTheme="majorBidi" w:cstheme="majorBidi"/>
          <w:sz w:val="24"/>
          <w:szCs w:val="24"/>
        </w:rPr>
        <w:t xml:space="preserve"> (8).</w:t>
      </w:r>
      <w:r w:rsidRPr="00A23055">
        <w:rPr>
          <w:rFonts w:asciiTheme="majorBidi" w:hAnsiTheme="majorBidi" w:cstheme="majorBidi"/>
          <w:sz w:val="24"/>
          <w:szCs w:val="24"/>
        </w:rPr>
        <w:t xml:space="preserve"> About 40% </w:t>
      </w:r>
      <w:bookmarkStart w:id="1" w:name="_Hlk179212126"/>
      <w:r w:rsidRPr="00A23055">
        <w:rPr>
          <w:rFonts w:asciiTheme="majorBidi" w:hAnsiTheme="majorBidi" w:cstheme="majorBidi"/>
          <w:sz w:val="24"/>
          <w:szCs w:val="24"/>
        </w:rPr>
        <w:t xml:space="preserve">of people </w:t>
      </w:r>
      <w:bookmarkEnd w:id="1"/>
      <w:r w:rsidRPr="00A23055">
        <w:rPr>
          <w:rFonts w:asciiTheme="majorBidi" w:hAnsiTheme="majorBidi" w:cstheme="majorBidi"/>
          <w:sz w:val="24"/>
          <w:szCs w:val="24"/>
        </w:rPr>
        <w:t>worldwide have a thyroid problem</w:t>
      </w:r>
      <w:r w:rsidR="006D25DF" w:rsidRPr="00A23055">
        <w:rPr>
          <w:rFonts w:asciiTheme="majorBidi" w:hAnsiTheme="majorBidi" w:cstheme="majorBidi"/>
          <w:sz w:val="24"/>
          <w:szCs w:val="24"/>
        </w:rPr>
        <w:t xml:space="preserve"> (9)</w:t>
      </w:r>
      <w:r w:rsidR="00574FEA" w:rsidRPr="00A23055">
        <w:rPr>
          <w:rFonts w:asciiTheme="majorBidi" w:hAnsiTheme="majorBidi" w:cstheme="majorBidi"/>
          <w:sz w:val="24"/>
          <w:szCs w:val="24"/>
        </w:rPr>
        <w:t>.</w:t>
      </w:r>
      <w:r w:rsidRPr="00A23055">
        <w:rPr>
          <w:rFonts w:asciiTheme="majorBidi" w:hAnsiTheme="majorBidi" w:cstheme="majorBidi"/>
          <w:sz w:val="24"/>
          <w:szCs w:val="24"/>
        </w:rPr>
        <w:t xml:space="preserve"> While2-5% of people have autoimmune thyroid disease (AID)</w:t>
      </w:r>
      <w:r w:rsidR="006D25DF" w:rsidRPr="00A23055">
        <w:rPr>
          <w:rFonts w:asciiTheme="majorBidi" w:hAnsiTheme="majorBidi" w:cstheme="majorBidi"/>
          <w:sz w:val="24"/>
          <w:szCs w:val="24"/>
        </w:rPr>
        <w:t xml:space="preserve"> (8)</w:t>
      </w:r>
      <w:r w:rsidRPr="00A23055">
        <w:rPr>
          <w:rFonts w:asciiTheme="majorBidi" w:hAnsiTheme="majorBidi" w:cstheme="majorBidi"/>
          <w:sz w:val="24"/>
          <w:szCs w:val="24"/>
        </w:rPr>
        <w:t>.</w:t>
      </w:r>
    </w:p>
    <w:p w14:paraId="0DF55659" w14:textId="606349E2" w:rsidR="004F71C1" w:rsidRPr="00A23055" w:rsidRDefault="00EB3531" w:rsidP="00BA14A2">
      <w:pPr>
        <w:spacing w:after="0" w:line="252" w:lineRule="auto"/>
        <w:ind w:firstLine="426"/>
        <w:jc w:val="both"/>
        <w:rPr>
          <w:rFonts w:asciiTheme="majorBidi" w:hAnsiTheme="majorBidi" w:cstheme="majorBidi"/>
          <w:sz w:val="24"/>
          <w:szCs w:val="24"/>
        </w:rPr>
      </w:pPr>
      <w:bookmarkStart w:id="2" w:name="_Hlk179221548"/>
      <w:r w:rsidRPr="00A23055">
        <w:rPr>
          <w:rFonts w:asciiTheme="majorBidi" w:hAnsiTheme="majorBidi" w:cstheme="majorBidi"/>
          <w:sz w:val="24"/>
          <w:szCs w:val="24"/>
        </w:rPr>
        <w:t>Hashimoto's thyroiditis (</w:t>
      </w:r>
      <w:bookmarkStart w:id="3" w:name="_Hlk178933467"/>
      <w:r w:rsidRPr="00A23055">
        <w:rPr>
          <w:rFonts w:asciiTheme="majorBidi" w:hAnsiTheme="majorBidi" w:cstheme="majorBidi"/>
          <w:sz w:val="24"/>
          <w:szCs w:val="24"/>
        </w:rPr>
        <w:t>HT</w:t>
      </w:r>
      <w:bookmarkEnd w:id="3"/>
      <w:r w:rsidRPr="00A23055">
        <w:rPr>
          <w:rFonts w:asciiTheme="majorBidi" w:hAnsiTheme="majorBidi" w:cstheme="majorBidi"/>
          <w:sz w:val="24"/>
          <w:szCs w:val="24"/>
        </w:rPr>
        <w:t xml:space="preserve">) </w:t>
      </w:r>
      <w:bookmarkEnd w:id="2"/>
      <w:r w:rsidRPr="00A23055">
        <w:rPr>
          <w:rFonts w:asciiTheme="majorBidi" w:hAnsiTheme="majorBidi" w:cstheme="majorBidi"/>
          <w:sz w:val="24"/>
          <w:szCs w:val="24"/>
        </w:rPr>
        <w:t>and Graves' disease (</w:t>
      </w:r>
      <w:bookmarkStart w:id="4" w:name="_Hlk178933481"/>
      <w:r w:rsidRPr="00A23055">
        <w:rPr>
          <w:rFonts w:asciiTheme="majorBidi" w:hAnsiTheme="majorBidi" w:cstheme="majorBidi"/>
          <w:sz w:val="24"/>
          <w:szCs w:val="24"/>
        </w:rPr>
        <w:t>GD</w:t>
      </w:r>
      <w:bookmarkEnd w:id="4"/>
      <w:r w:rsidRPr="00A23055">
        <w:rPr>
          <w:rFonts w:asciiTheme="majorBidi" w:hAnsiTheme="majorBidi" w:cstheme="majorBidi"/>
          <w:sz w:val="24"/>
          <w:szCs w:val="24"/>
        </w:rPr>
        <w:t>) are prevalent autoimmune thyroid gland illnesses that cause hypothyroidism and hyperthyroidism, respectively</w:t>
      </w:r>
      <w:r w:rsidR="006D25DF" w:rsidRPr="00A23055">
        <w:rPr>
          <w:rFonts w:asciiTheme="majorBidi" w:hAnsiTheme="majorBidi" w:cstheme="majorBidi"/>
          <w:sz w:val="24"/>
          <w:szCs w:val="24"/>
        </w:rPr>
        <w:t xml:space="preserve"> (10)</w:t>
      </w:r>
      <w:r w:rsidRPr="00A23055">
        <w:rPr>
          <w:rFonts w:asciiTheme="majorBidi" w:hAnsiTheme="majorBidi" w:cstheme="majorBidi"/>
          <w:sz w:val="24"/>
          <w:szCs w:val="24"/>
        </w:rPr>
        <w:t>.</w:t>
      </w:r>
      <w:r w:rsidR="004C7BD9" w:rsidRPr="00A23055">
        <w:rPr>
          <w:rFonts w:asciiTheme="majorBidi" w:hAnsiTheme="majorBidi" w:cstheme="majorBidi"/>
          <w:sz w:val="24"/>
          <w:szCs w:val="24"/>
        </w:rPr>
        <w:t xml:space="preserve"> </w:t>
      </w:r>
      <w:r w:rsidRPr="00A23055">
        <w:rPr>
          <w:rFonts w:asciiTheme="majorBidi" w:hAnsiTheme="majorBidi" w:cstheme="majorBidi"/>
          <w:sz w:val="24"/>
          <w:szCs w:val="24"/>
        </w:rPr>
        <w:t>The autoantibodies against thyroid peroxidase and thyroglobulin that are present in Hashimoto’s thyroiditis set it apart</w:t>
      </w:r>
      <w:r w:rsidR="00574FEA" w:rsidRPr="00A23055">
        <w:rPr>
          <w:rFonts w:asciiTheme="majorBidi" w:hAnsiTheme="majorBidi" w:cstheme="majorBidi"/>
          <w:sz w:val="24"/>
          <w:szCs w:val="24"/>
        </w:rPr>
        <w:t>, while</w:t>
      </w:r>
      <w:r w:rsidRPr="00A23055">
        <w:rPr>
          <w:rFonts w:asciiTheme="majorBidi" w:hAnsiTheme="majorBidi" w:cstheme="majorBidi"/>
          <w:sz w:val="24"/>
          <w:szCs w:val="24"/>
        </w:rPr>
        <w:t xml:space="preserve"> </w:t>
      </w:r>
      <w:r w:rsidR="00574FEA" w:rsidRPr="00A23055">
        <w:rPr>
          <w:rFonts w:asciiTheme="majorBidi" w:hAnsiTheme="majorBidi" w:cstheme="majorBidi"/>
          <w:sz w:val="24"/>
          <w:szCs w:val="24"/>
        </w:rPr>
        <w:t>Graves’</w:t>
      </w:r>
      <w:r w:rsidRPr="00A23055">
        <w:rPr>
          <w:rFonts w:asciiTheme="majorBidi" w:hAnsiTheme="majorBidi" w:cstheme="majorBidi"/>
          <w:sz w:val="24"/>
          <w:szCs w:val="24"/>
        </w:rPr>
        <w:t xml:space="preserve"> disease has been linked to autoantibodies against the TSH receptor. The environment, epigenetic modifications, and a multitude of susceptibility genes all play a role in the two diseases</w:t>
      </w:r>
      <w:r w:rsidR="004C7BD9" w:rsidRPr="00A23055">
        <w:rPr>
          <w:rFonts w:asciiTheme="majorBidi" w:hAnsiTheme="majorBidi" w:cstheme="majorBidi"/>
          <w:sz w:val="24"/>
          <w:szCs w:val="24"/>
        </w:rPr>
        <w:t>'</w:t>
      </w:r>
      <w:r w:rsidRPr="00A23055">
        <w:rPr>
          <w:rFonts w:asciiTheme="majorBidi" w:hAnsiTheme="majorBidi" w:cstheme="majorBidi"/>
          <w:sz w:val="24"/>
          <w:szCs w:val="24"/>
        </w:rPr>
        <w:t xml:space="preserve"> pathogenesis</w:t>
      </w:r>
      <w:r w:rsidR="008340AA" w:rsidRPr="00A23055">
        <w:rPr>
          <w:rFonts w:asciiTheme="majorBidi" w:hAnsiTheme="majorBidi" w:cstheme="majorBidi"/>
          <w:sz w:val="24"/>
          <w:szCs w:val="24"/>
        </w:rPr>
        <w:t xml:space="preserve"> (11). </w:t>
      </w:r>
      <w:r w:rsidRPr="00A23055">
        <w:rPr>
          <w:rFonts w:asciiTheme="majorBidi" w:hAnsiTheme="majorBidi" w:cstheme="majorBidi"/>
          <w:sz w:val="24"/>
          <w:szCs w:val="24"/>
        </w:rPr>
        <w:t xml:space="preserve">The presence of </w:t>
      </w:r>
      <w:bookmarkStart w:id="5" w:name="_Hlk178950465"/>
      <w:r w:rsidRPr="00A23055">
        <w:rPr>
          <w:rFonts w:asciiTheme="majorBidi" w:hAnsiTheme="majorBidi" w:cstheme="majorBidi"/>
          <w:sz w:val="24"/>
          <w:szCs w:val="24"/>
        </w:rPr>
        <w:t>antibodies</w:t>
      </w:r>
      <w:bookmarkEnd w:id="5"/>
      <w:r w:rsidRPr="00A23055">
        <w:rPr>
          <w:rFonts w:asciiTheme="majorBidi" w:hAnsiTheme="majorBidi" w:cstheme="majorBidi"/>
          <w:sz w:val="24"/>
          <w:szCs w:val="24"/>
        </w:rPr>
        <w:t xml:space="preserve"> (</w:t>
      </w:r>
      <w:bookmarkStart w:id="6" w:name="_Hlk178952761"/>
      <w:r w:rsidRPr="00A23055">
        <w:rPr>
          <w:rFonts w:asciiTheme="majorBidi" w:hAnsiTheme="majorBidi" w:cstheme="majorBidi"/>
          <w:sz w:val="24"/>
          <w:szCs w:val="24"/>
        </w:rPr>
        <w:t>anti-TPO, anti-</w:t>
      </w:r>
      <w:proofErr w:type="spellStart"/>
      <w:r w:rsidRPr="00A23055">
        <w:rPr>
          <w:rFonts w:asciiTheme="majorBidi" w:hAnsiTheme="majorBidi" w:cstheme="majorBidi"/>
          <w:sz w:val="24"/>
          <w:szCs w:val="24"/>
        </w:rPr>
        <w:t>Tg</w:t>
      </w:r>
      <w:proofErr w:type="spellEnd"/>
      <w:r w:rsidRPr="00A23055">
        <w:rPr>
          <w:rFonts w:asciiTheme="majorBidi" w:hAnsiTheme="majorBidi" w:cstheme="majorBidi"/>
          <w:sz w:val="24"/>
          <w:szCs w:val="24"/>
        </w:rPr>
        <w:t xml:space="preserve">, </w:t>
      </w:r>
      <w:bookmarkEnd w:id="6"/>
      <w:r w:rsidR="008340AA" w:rsidRPr="00A23055">
        <w:rPr>
          <w:rFonts w:asciiTheme="majorBidi" w:hAnsiTheme="majorBidi" w:cstheme="majorBidi"/>
          <w:sz w:val="24"/>
          <w:szCs w:val="24"/>
        </w:rPr>
        <w:t>and anti-TSHR</w:t>
      </w:r>
      <w:r w:rsidRPr="00A23055">
        <w:rPr>
          <w:rFonts w:asciiTheme="majorBidi" w:hAnsiTheme="majorBidi" w:cstheme="majorBidi"/>
          <w:sz w:val="24"/>
          <w:szCs w:val="24"/>
        </w:rPr>
        <w:t>) that target the thyroid self-antigens as well as autoreactive T and B lymphocyte infiltrates within the thyroid can directly establish that autoimmune reaction</w:t>
      </w:r>
      <w:r w:rsidR="004C7BD9" w:rsidRPr="00A23055">
        <w:rPr>
          <w:rFonts w:asciiTheme="majorBidi" w:hAnsiTheme="majorBidi" w:cstheme="majorBidi"/>
          <w:sz w:val="24"/>
          <w:szCs w:val="24"/>
        </w:rPr>
        <w:t>s</w:t>
      </w:r>
      <w:r w:rsidRPr="00A23055">
        <w:rPr>
          <w:rFonts w:asciiTheme="majorBidi" w:hAnsiTheme="majorBidi" w:cstheme="majorBidi"/>
          <w:sz w:val="24"/>
          <w:szCs w:val="24"/>
        </w:rPr>
        <w:t xml:space="preserve"> occur in both </w:t>
      </w:r>
      <w:bookmarkStart w:id="7" w:name="_Hlk178951354"/>
      <w:r w:rsidRPr="00A23055">
        <w:rPr>
          <w:rFonts w:asciiTheme="majorBidi" w:hAnsiTheme="majorBidi" w:cstheme="majorBidi"/>
          <w:sz w:val="24"/>
          <w:szCs w:val="24"/>
        </w:rPr>
        <w:t>GD and HT</w:t>
      </w:r>
      <w:r w:rsidR="008340AA" w:rsidRPr="00A23055">
        <w:rPr>
          <w:rFonts w:asciiTheme="majorBidi" w:hAnsiTheme="majorBidi" w:cstheme="majorBidi"/>
          <w:sz w:val="24"/>
          <w:szCs w:val="24"/>
        </w:rPr>
        <w:t xml:space="preserve"> (12)</w:t>
      </w:r>
      <w:bookmarkEnd w:id="7"/>
      <w:r w:rsidR="004F71C1" w:rsidRPr="00A23055">
        <w:rPr>
          <w:rFonts w:asciiTheme="majorBidi" w:hAnsiTheme="majorBidi" w:cstheme="majorBidi"/>
          <w:sz w:val="24"/>
          <w:szCs w:val="24"/>
        </w:rPr>
        <w:t>.</w:t>
      </w:r>
      <w:r w:rsidR="004C7BD9" w:rsidRPr="00A23055">
        <w:rPr>
          <w:rFonts w:asciiTheme="majorBidi" w:hAnsiTheme="majorBidi" w:cstheme="majorBidi"/>
          <w:sz w:val="24"/>
          <w:szCs w:val="24"/>
        </w:rPr>
        <w:t xml:space="preserve"> </w:t>
      </w:r>
      <w:r w:rsidRPr="00A23055">
        <w:rPr>
          <w:rFonts w:asciiTheme="majorBidi" w:hAnsiTheme="majorBidi" w:cstheme="majorBidi"/>
          <w:sz w:val="24"/>
          <w:szCs w:val="24"/>
        </w:rPr>
        <w:t>Immune system-produced antibodies are similar to antibodies that are produced against viruses and bacteria, but instead of attacking outside invaders, autoantibodies attack the body itself, Anti-TPO antibodies are a type of autoantibody</w:t>
      </w:r>
      <w:r w:rsidR="008340AA" w:rsidRPr="00A23055">
        <w:rPr>
          <w:rFonts w:asciiTheme="majorBidi" w:hAnsiTheme="majorBidi" w:cstheme="majorBidi"/>
          <w:sz w:val="24"/>
          <w:szCs w:val="24"/>
        </w:rPr>
        <w:t xml:space="preserve"> (13)</w:t>
      </w:r>
      <w:r w:rsidR="004F71C1" w:rsidRPr="00A23055">
        <w:rPr>
          <w:rFonts w:asciiTheme="majorBidi" w:hAnsiTheme="majorBidi" w:cstheme="majorBidi"/>
          <w:sz w:val="24"/>
          <w:szCs w:val="24"/>
        </w:rPr>
        <w:t>.</w:t>
      </w:r>
      <w:r w:rsidRPr="00A23055">
        <w:rPr>
          <w:rFonts w:asciiTheme="majorBidi" w:hAnsiTheme="majorBidi" w:cstheme="majorBidi"/>
          <w:sz w:val="24"/>
          <w:szCs w:val="24"/>
        </w:rPr>
        <w:t xml:space="preserve"> Autoimmune </w:t>
      </w:r>
      <w:r w:rsidRPr="00A23055">
        <w:rPr>
          <w:rFonts w:asciiTheme="majorBidi" w:hAnsiTheme="majorBidi" w:cstheme="majorBidi"/>
          <w:sz w:val="24"/>
          <w:szCs w:val="24"/>
        </w:rPr>
        <w:t>antibodies</w:t>
      </w:r>
      <w:r w:rsidR="008340AA" w:rsidRPr="00A23055">
        <w:rPr>
          <w:rFonts w:asciiTheme="majorBidi" w:hAnsiTheme="majorBidi" w:cstheme="majorBidi"/>
          <w:sz w:val="24"/>
          <w:szCs w:val="24"/>
        </w:rPr>
        <w:t xml:space="preserve"> prevent TPO from using iodine </w:t>
      </w:r>
      <w:r w:rsidR="00647802" w:rsidRPr="00A23055">
        <w:rPr>
          <w:rFonts w:asciiTheme="majorBidi" w:hAnsiTheme="majorBidi" w:cstheme="majorBidi"/>
          <w:sz w:val="24"/>
          <w:szCs w:val="24"/>
        </w:rPr>
        <w:t>which</w:t>
      </w:r>
      <w:r w:rsidRPr="00A23055">
        <w:rPr>
          <w:rFonts w:asciiTheme="majorBidi" w:hAnsiTheme="majorBidi" w:cstheme="majorBidi"/>
          <w:sz w:val="24"/>
          <w:szCs w:val="24"/>
        </w:rPr>
        <w:t xml:space="preserve"> causes hypothyroidism, a disorder in which the thyroid does not produce enough hormones, as well as inflammation, which can ultimately lead to the destruction </w:t>
      </w:r>
      <w:r w:rsidR="004C7BD9" w:rsidRPr="00A23055">
        <w:rPr>
          <w:rFonts w:asciiTheme="majorBidi" w:hAnsiTheme="majorBidi" w:cstheme="majorBidi"/>
          <w:sz w:val="24"/>
          <w:szCs w:val="24"/>
        </w:rPr>
        <w:t xml:space="preserve">of </w:t>
      </w:r>
      <w:r w:rsidRPr="00A23055">
        <w:rPr>
          <w:rFonts w:asciiTheme="majorBidi" w:hAnsiTheme="majorBidi" w:cstheme="majorBidi"/>
          <w:sz w:val="24"/>
          <w:szCs w:val="24"/>
        </w:rPr>
        <w:t xml:space="preserve">all or part of </w:t>
      </w:r>
      <w:r w:rsidR="004C7BD9" w:rsidRPr="00A23055">
        <w:rPr>
          <w:rFonts w:asciiTheme="majorBidi" w:hAnsiTheme="majorBidi" w:cstheme="majorBidi"/>
          <w:sz w:val="24"/>
          <w:szCs w:val="24"/>
        </w:rPr>
        <w:t xml:space="preserve">the </w:t>
      </w:r>
      <w:r w:rsidRPr="00A23055">
        <w:rPr>
          <w:rFonts w:asciiTheme="majorBidi" w:hAnsiTheme="majorBidi" w:cstheme="majorBidi"/>
          <w:sz w:val="24"/>
          <w:szCs w:val="24"/>
        </w:rPr>
        <w:t xml:space="preserve">thyroid gland. It may also develop nodules or become enlarged </w:t>
      </w:r>
      <w:bookmarkStart w:id="8" w:name="_Hlk187790396"/>
      <w:r w:rsidR="004F71C1" w:rsidRPr="00A23055">
        <w:rPr>
          <w:rFonts w:asciiTheme="majorBidi" w:hAnsiTheme="majorBidi" w:cstheme="majorBidi"/>
          <w:sz w:val="24"/>
          <w:szCs w:val="24"/>
        </w:rPr>
        <w:t>as a result of the inflammation</w:t>
      </w:r>
      <w:r w:rsidR="008340AA" w:rsidRPr="00A23055">
        <w:rPr>
          <w:rFonts w:asciiTheme="majorBidi" w:hAnsiTheme="majorBidi" w:cstheme="majorBidi"/>
          <w:sz w:val="24"/>
          <w:szCs w:val="24"/>
        </w:rPr>
        <w:t xml:space="preserve"> (14)</w:t>
      </w:r>
      <w:r w:rsidR="004F71C1" w:rsidRPr="00A23055">
        <w:rPr>
          <w:rFonts w:asciiTheme="majorBidi" w:hAnsiTheme="majorBidi" w:cstheme="majorBidi"/>
          <w:sz w:val="24"/>
          <w:szCs w:val="24"/>
        </w:rPr>
        <w:t>.</w:t>
      </w:r>
      <w:r w:rsidRPr="00A23055">
        <w:rPr>
          <w:rFonts w:asciiTheme="majorBidi" w:hAnsiTheme="majorBidi" w:cstheme="majorBidi"/>
          <w:sz w:val="24"/>
          <w:szCs w:val="24"/>
        </w:rPr>
        <w:t xml:space="preserve">       </w:t>
      </w:r>
    </w:p>
    <w:p w14:paraId="17FE41E4" w14:textId="6BF1092B" w:rsidR="00EB3531" w:rsidRPr="00A23055" w:rsidRDefault="00646512" w:rsidP="00646512">
      <w:pPr>
        <w:spacing w:after="0" w:line="252" w:lineRule="auto"/>
        <w:ind w:firstLine="426"/>
        <w:jc w:val="both"/>
        <w:rPr>
          <w:rFonts w:asciiTheme="majorBidi" w:hAnsiTheme="majorBidi" w:cstheme="majorBidi"/>
          <w:sz w:val="24"/>
          <w:szCs w:val="24"/>
        </w:rPr>
      </w:pPr>
      <w:r w:rsidRPr="00FC7157">
        <w:rPr>
          <w:rFonts w:asciiTheme="majorBidi" w:hAnsiTheme="majorBidi" w:cstheme="majorBidi"/>
          <w:color w:val="000000" w:themeColor="text1"/>
          <w:sz w:val="24"/>
          <w:szCs w:val="24"/>
        </w:rPr>
        <w:t xml:space="preserve">A </w:t>
      </w:r>
      <w:r w:rsidR="00EB3531" w:rsidRPr="00FC7157">
        <w:rPr>
          <w:rFonts w:asciiTheme="majorBidi" w:hAnsiTheme="majorBidi" w:cstheme="majorBidi"/>
          <w:color w:val="000000" w:themeColor="text1"/>
          <w:sz w:val="24"/>
          <w:szCs w:val="24"/>
        </w:rPr>
        <w:t>cytokine with potent anti-inflammatory activity and immunosuppressive properties</w:t>
      </w:r>
      <w:r w:rsidRPr="00FC7157">
        <w:rPr>
          <w:rFonts w:asciiTheme="majorBidi" w:hAnsiTheme="majorBidi" w:cstheme="majorBidi"/>
          <w:color w:val="000000" w:themeColor="text1"/>
          <w:sz w:val="24"/>
          <w:szCs w:val="24"/>
        </w:rPr>
        <w:t>.</w:t>
      </w:r>
      <w:r w:rsidR="00EB3531" w:rsidRPr="00FC7157">
        <w:rPr>
          <w:rFonts w:asciiTheme="majorBidi" w:hAnsiTheme="majorBidi" w:cstheme="majorBidi"/>
          <w:color w:val="000000" w:themeColor="text1"/>
          <w:sz w:val="24"/>
          <w:szCs w:val="24"/>
        </w:rPr>
        <w:t xml:space="preserve"> </w:t>
      </w:r>
      <w:r w:rsidRPr="00FC7157">
        <w:rPr>
          <w:rFonts w:asciiTheme="majorBidi" w:hAnsiTheme="majorBidi" w:cstheme="majorBidi"/>
          <w:color w:val="000000" w:themeColor="text1"/>
          <w:sz w:val="24"/>
          <w:szCs w:val="24"/>
        </w:rPr>
        <w:t>The IL-10</w:t>
      </w:r>
      <w:r w:rsidR="00EB3531" w:rsidRPr="00FC7157">
        <w:rPr>
          <w:rFonts w:asciiTheme="majorBidi" w:hAnsiTheme="majorBidi" w:cstheme="majorBidi"/>
          <w:color w:val="000000" w:themeColor="text1"/>
          <w:sz w:val="24"/>
          <w:szCs w:val="24"/>
        </w:rPr>
        <w:t xml:space="preserve">, </w:t>
      </w:r>
      <w:r w:rsidR="004C7BD9" w:rsidRPr="00FC7157">
        <w:rPr>
          <w:rFonts w:asciiTheme="majorBidi" w:hAnsiTheme="majorBidi" w:cstheme="majorBidi"/>
          <w:color w:val="000000" w:themeColor="text1"/>
          <w:sz w:val="24"/>
          <w:szCs w:val="24"/>
        </w:rPr>
        <w:t>played</w:t>
      </w:r>
      <w:r w:rsidR="00EB3531" w:rsidRPr="00FC7157">
        <w:rPr>
          <w:rFonts w:asciiTheme="majorBidi" w:hAnsiTheme="majorBidi" w:cstheme="majorBidi"/>
          <w:color w:val="000000" w:themeColor="text1"/>
          <w:sz w:val="24"/>
          <w:szCs w:val="24"/>
        </w:rPr>
        <w:t xml:space="preserve"> a main role in the immunomodulatory actions that suppress the development of autoimmune hyperthyroidism disease</w:t>
      </w:r>
      <w:bookmarkEnd w:id="8"/>
      <w:r w:rsidR="008340AA" w:rsidRPr="00FC7157">
        <w:rPr>
          <w:rFonts w:asciiTheme="majorBidi" w:hAnsiTheme="majorBidi" w:cstheme="majorBidi"/>
          <w:color w:val="000000" w:themeColor="text1"/>
          <w:sz w:val="24"/>
          <w:szCs w:val="24"/>
        </w:rPr>
        <w:t xml:space="preserve"> (15)</w:t>
      </w:r>
      <w:r w:rsidR="004F71C1" w:rsidRPr="00FC7157">
        <w:rPr>
          <w:rFonts w:asciiTheme="majorBidi" w:hAnsiTheme="majorBidi" w:cstheme="majorBidi"/>
          <w:color w:val="000000" w:themeColor="text1"/>
          <w:sz w:val="24"/>
          <w:szCs w:val="24"/>
        </w:rPr>
        <w:t xml:space="preserve">. </w:t>
      </w:r>
      <w:r w:rsidR="00EB3531" w:rsidRPr="00FC7157">
        <w:rPr>
          <w:rFonts w:asciiTheme="majorBidi" w:hAnsiTheme="majorBidi" w:cstheme="majorBidi"/>
          <w:color w:val="000000" w:themeColor="text1"/>
          <w:sz w:val="24"/>
          <w:szCs w:val="24"/>
        </w:rPr>
        <w:t xml:space="preserve">The pleiotropic cytokine </w:t>
      </w:r>
      <w:r w:rsidRPr="00FC7157">
        <w:rPr>
          <w:rFonts w:asciiTheme="majorBidi" w:hAnsiTheme="majorBidi" w:cstheme="majorBidi"/>
          <w:color w:val="000000" w:themeColor="text1"/>
          <w:sz w:val="24"/>
          <w:szCs w:val="24"/>
        </w:rPr>
        <w:t xml:space="preserve">IL-10 </w:t>
      </w:r>
      <w:r w:rsidR="00EB3531" w:rsidRPr="00FC7157">
        <w:rPr>
          <w:rFonts w:asciiTheme="majorBidi" w:hAnsiTheme="majorBidi" w:cstheme="majorBidi"/>
          <w:color w:val="000000" w:themeColor="text1"/>
          <w:sz w:val="24"/>
          <w:szCs w:val="24"/>
        </w:rPr>
        <w:t>is essential for controlling inflammation and preserving cell homeostasis. Its main function is that of an anti-inflammatory cytokine, protecting the body from an unchecked immunological response, primarily via the signaling pathways of Jak1/Tyk2 and STAT3</w:t>
      </w:r>
      <w:r w:rsidR="008340AA" w:rsidRPr="00FC7157">
        <w:rPr>
          <w:rFonts w:asciiTheme="majorBidi" w:hAnsiTheme="majorBidi" w:cstheme="majorBidi"/>
          <w:color w:val="000000" w:themeColor="text1"/>
          <w:sz w:val="24"/>
          <w:szCs w:val="24"/>
        </w:rPr>
        <w:t xml:space="preserve"> (16)</w:t>
      </w:r>
      <w:r w:rsidR="00EB3531" w:rsidRPr="00FC7157">
        <w:rPr>
          <w:rFonts w:asciiTheme="majorBidi" w:hAnsiTheme="majorBidi" w:cstheme="majorBidi"/>
          <w:color w:val="000000" w:themeColor="text1"/>
          <w:sz w:val="24"/>
          <w:szCs w:val="24"/>
        </w:rPr>
        <w:t>.</w:t>
      </w:r>
      <w:r w:rsidR="00765559" w:rsidRPr="00FC7157">
        <w:rPr>
          <w:rFonts w:asciiTheme="majorBidi" w:hAnsiTheme="majorBidi" w:cstheme="majorBidi"/>
          <w:color w:val="000000" w:themeColor="text1"/>
          <w:sz w:val="24"/>
          <w:szCs w:val="24"/>
        </w:rPr>
        <w:t xml:space="preserve"> This study intended to quantify the levels of anti-thyroid peroxidase antibodies (Anti-TPO) and the anti</w:t>
      </w:r>
      <w:r w:rsidR="00765559" w:rsidRPr="00A23055">
        <w:rPr>
          <w:rFonts w:asciiTheme="majorBidi" w:hAnsiTheme="majorBidi" w:cstheme="majorBidi"/>
          <w:sz w:val="24"/>
          <w:szCs w:val="24"/>
        </w:rPr>
        <w:t>-inflammatory cytokine interleukin-10 (IL-10), as well as the thyroid hormones triiodothyronine (T3), thyroxine (T4), and thyroid-stimulating hormone (TSH), in a representative sample of patients with thyroid disorders in the Iraqi population.</w:t>
      </w:r>
    </w:p>
    <w:p w14:paraId="10328C17" w14:textId="77777777" w:rsidR="00765559" w:rsidRPr="00A23055" w:rsidRDefault="00765559" w:rsidP="00BA14A2">
      <w:pPr>
        <w:spacing w:after="0" w:line="252" w:lineRule="auto"/>
        <w:jc w:val="both"/>
        <w:rPr>
          <w:rFonts w:asciiTheme="majorBidi" w:hAnsiTheme="majorBidi" w:cstheme="majorBidi"/>
          <w:b/>
          <w:bCs/>
          <w:sz w:val="24"/>
          <w:szCs w:val="24"/>
        </w:rPr>
      </w:pPr>
      <w:r w:rsidRPr="00A23055">
        <w:rPr>
          <w:rFonts w:asciiTheme="majorBidi" w:hAnsiTheme="majorBidi" w:cstheme="majorBidi"/>
          <w:b/>
          <w:bCs/>
          <w:sz w:val="24"/>
          <w:szCs w:val="24"/>
        </w:rPr>
        <w:t>Ethical Approval</w:t>
      </w:r>
    </w:p>
    <w:p w14:paraId="7E351409" w14:textId="77777777" w:rsidR="00765559" w:rsidRPr="00A23055" w:rsidRDefault="004C7BD9" w:rsidP="00BA14A2">
      <w:pPr>
        <w:spacing w:after="0" w:line="252" w:lineRule="auto"/>
        <w:ind w:firstLine="426"/>
        <w:jc w:val="both"/>
        <w:rPr>
          <w:rFonts w:asciiTheme="majorBidi" w:hAnsiTheme="majorBidi" w:cstheme="majorBidi"/>
          <w:sz w:val="24"/>
          <w:szCs w:val="24"/>
        </w:rPr>
      </w:pPr>
      <w:r w:rsidRPr="00A23055">
        <w:rPr>
          <w:rFonts w:asciiTheme="majorBidi" w:hAnsiTheme="majorBidi" w:cstheme="majorBidi"/>
          <w:sz w:val="24"/>
          <w:szCs w:val="24"/>
        </w:rPr>
        <w:t>Before</w:t>
      </w:r>
      <w:r w:rsidR="00765559" w:rsidRPr="00A23055">
        <w:rPr>
          <w:rFonts w:asciiTheme="majorBidi" w:hAnsiTheme="majorBidi" w:cstheme="majorBidi"/>
          <w:sz w:val="24"/>
          <w:szCs w:val="24"/>
        </w:rPr>
        <w:t xml:space="preserve"> enrollment, all participants provided written informed consent, and the study protocol was approved by the Congress of the Institute of Genetic Engineering and Biotechnology at the University of Baghdad (Ref no. 4011 </w:t>
      </w:r>
      <w:r w:rsidRPr="00A23055">
        <w:rPr>
          <w:rFonts w:asciiTheme="majorBidi" w:hAnsiTheme="majorBidi" w:cstheme="majorBidi"/>
          <w:sz w:val="24"/>
          <w:szCs w:val="24"/>
        </w:rPr>
        <w:t>o</w:t>
      </w:r>
      <w:r w:rsidR="00765559" w:rsidRPr="00A23055">
        <w:rPr>
          <w:rFonts w:asciiTheme="majorBidi" w:hAnsiTheme="majorBidi" w:cstheme="majorBidi"/>
          <w:sz w:val="24"/>
          <w:szCs w:val="24"/>
        </w:rPr>
        <w:t>n 21/11/2023). Additionally, necessary approvals were obtained from the collaborating centers, hospitals, and laboratories</w:t>
      </w:r>
      <w:r w:rsidRPr="00A23055">
        <w:rPr>
          <w:rFonts w:asciiTheme="majorBidi" w:hAnsiTheme="majorBidi" w:cstheme="majorBidi"/>
          <w:sz w:val="24"/>
          <w:szCs w:val="24"/>
        </w:rPr>
        <w:t>.</w:t>
      </w:r>
    </w:p>
    <w:p w14:paraId="79C0FFDD" w14:textId="77777777" w:rsidR="007862AA" w:rsidRDefault="007862AA" w:rsidP="00BA14A2">
      <w:pPr>
        <w:spacing w:after="0" w:line="252" w:lineRule="auto"/>
        <w:jc w:val="both"/>
        <w:rPr>
          <w:rFonts w:asciiTheme="majorBidi" w:hAnsiTheme="majorBidi" w:cstheme="majorBidi"/>
          <w:b/>
          <w:bCs/>
          <w:sz w:val="24"/>
          <w:szCs w:val="24"/>
          <w:rtl/>
        </w:rPr>
      </w:pPr>
    </w:p>
    <w:p w14:paraId="554E9AA0" w14:textId="2F701421" w:rsidR="00765559" w:rsidRPr="00A23055" w:rsidRDefault="00765559" w:rsidP="00BA14A2">
      <w:pPr>
        <w:spacing w:after="0" w:line="252" w:lineRule="auto"/>
        <w:jc w:val="both"/>
        <w:rPr>
          <w:rFonts w:asciiTheme="majorBidi" w:hAnsiTheme="majorBidi" w:cstheme="majorBidi"/>
          <w:b/>
          <w:bCs/>
          <w:sz w:val="24"/>
          <w:szCs w:val="24"/>
        </w:rPr>
      </w:pPr>
      <w:r w:rsidRPr="00A23055">
        <w:rPr>
          <w:rFonts w:asciiTheme="majorBidi" w:hAnsiTheme="majorBidi" w:cstheme="majorBidi"/>
          <w:b/>
          <w:bCs/>
          <w:sz w:val="24"/>
          <w:szCs w:val="24"/>
        </w:rPr>
        <w:lastRenderedPageBreak/>
        <w:t>Subjects</w:t>
      </w:r>
    </w:p>
    <w:p w14:paraId="438EC19E" w14:textId="6CCA1FDB" w:rsidR="00765559" w:rsidRPr="00A23055" w:rsidRDefault="00791EA8" w:rsidP="004F442B">
      <w:pPr>
        <w:spacing w:after="0" w:line="252" w:lineRule="auto"/>
        <w:ind w:firstLine="426"/>
        <w:jc w:val="both"/>
        <w:rPr>
          <w:rFonts w:asciiTheme="majorBidi" w:hAnsiTheme="majorBidi" w:cstheme="majorBidi"/>
          <w:sz w:val="24"/>
          <w:szCs w:val="24"/>
        </w:rPr>
      </w:pPr>
      <w:r w:rsidRPr="00FC7157">
        <w:rPr>
          <w:rFonts w:asciiTheme="majorBidi" w:hAnsiTheme="majorBidi" w:cstheme="majorBidi"/>
          <w:color w:val="000000" w:themeColor="text1"/>
          <w:sz w:val="24"/>
          <w:szCs w:val="24"/>
        </w:rPr>
        <w:t>A case-control</w:t>
      </w:r>
      <w:r w:rsidR="00765559" w:rsidRPr="00FC7157">
        <w:rPr>
          <w:rFonts w:asciiTheme="majorBidi" w:hAnsiTheme="majorBidi" w:cstheme="majorBidi"/>
          <w:color w:val="000000" w:themeColor="text1"/>
          <w:sz w:val="24"/>
          <w:szCs w:val="24"/>
        </w:rPr>
        <w:t xml:space="preserve"> study included two groups: 50 healthy individuals (Control Group) randomly selected from hospital visitors, and 100 individuals (Patient Group) diagnosed with</w:t>
      </w:r>
      <w:r w:rsidR="004F442B" w:rsidRPr="00FC7157">
        <w:rPr>
          <w:rFonts w:asciiTheme="majorBidi" w:hAnsiTheme="majorBidi" w:cstheme="majorBidi"/>
          <w:color w:val="000000" w:themeColor="text1"/>
          <w:sz w:val="24"/>
          <w:szCs w:val="24"/>
        </w:rPr>
        <w:t xml:space="preserve"> AITD based on standard laboratory tests (TSH, T3, and T4 levels) including both</w:t>
      </w:r>
      <w:r w:rsidR="00765559" w:rsidRPr="00FC7157">
        <w:rPr>
          <w:rFonts w:asciiTheme="majorBidi" w:hAnsiTheme="majorBidi" w:cstheme="majorBidi"/>
          <w:color w:val="000000" w:themeColor="text1"/>
          <w:sz w:val="24"/>
          <w:szCs w:val="24"/>
        </w:rPr>
        <w:t xml:space="preserve"> hypothyroidism</w:t>
      </w:r>
      <w:r w:rsidR="00291985" w:rsidRPr="00FC7157">
        <w:rPr>
          <w:rFonts w:asciiTheme="majorBidi" w:hAnsiTheme="majorBidi" w:cstheme="majorBidi"/>
          <w:color w:val="000000" w:themeColor="text1"/>
          <w:sz w:val="24"/>
          <w:szCs w:val="24"/>
        </w:rPr>
        <w:t xml:space="preserve"> (Hashimoto’s Thyroiditis)</w:t>
      </w:r>
      <w:r w:rsidR="004F442B" w:rsidRPr="00FC7157">
        <w:rPr>
          <w:rFonts w:asciiTheme="majorBidi" w:hAnsiTheme="majorBidi" w:cstheme="majorBidi"/>
          <w:color w:val="000000" w:themeColor="text1"/>
          <w:sz w:val="24"/>
          <w:szCs w:val="24"/>
        </w:rPr>
        <w:t xml:space="preserve"> with high TSH level along with low level of both T3 and T4</w:t>
      </w:r>
      <w:r w:rsidR="00765559" w:rsidRPr="00FC7157">
        <w:rPr>
          <w:rFonts w:asciiTheme="majorBidi" w:hAnsiTheme="majorBidi" w:cstheme="majorBidi"/>
          <w:color w:val="000000" w:themeColor="text1"/>
          <w:sz w:val="24"/>
          <w:szCs w:val="24"/>
        </w:rPr>
        <w:t xml:space="preserve"> or hyperthyroidism</w:t>
      </w:r>
      <w:r w:rsidR="00291985" w:rsidRPr="00FC7157">
        <w:rPr>
          <w:rFonts w:asciiTheme="majorBidi" w:hAnsiTheme="majorBidi" w:cstheme="majorBidi"/>
          <w:color w:val="000000" w:themeColor="text1"/>
          <w:sz w:val="24"/>
          <w:szCs w:val="24"/>
        </w:rPr>
        <w:t xml:space="preserve"> (Graves’</w:t>
      </w:r>
      <w:r w:rsidR="004F442B" w:rsidRPr="00FC7157">
        <w:rPr>
          <w:rFonts w:asciiTheme="majorBidi" w:hAnsiTheme="majorBidi" w:cstheme="majorBidi"/>
          <w:color w:val="000000" w:themeColor="text1"/>
          <w:sz w:val="24"/>
          <w:szCs w:val="24"/>
        </w:rPr>
        <w:t xml:space="preserve"> </w:t>
      </w:r>
      <w:r w:rsidR="00291985" w:rsidRPr="00FC7157">
        <w:rPr>
          <w:rFonts w:asciiTheme="majorBidi" w:hAnsiTheme="majorBidi" w:cstheme="majorBidi"/>
          <w:color w:val="000000" w:themeColor="text1"/>
          <w:sz w:val="24"/>
          <w:szCs w:val="24"/>
        </w:rPr>
        <w:t>Disease)</w:t>
      </w:r>
      <w:r w:rsidR="00765559" w:rsidRPr="00FC7157">
        <w:rPr>
          <w:rFonts w:asciiTheme="majorBidi" w:hAnsiTheme="majorBidi" w:cstheme="majorBidi"/>
          <w:color w:val="000000" w:themeColor="text1"/>
          <w:sz w:val="24"/>
          <w:szCs w:val="24"/>
        </w:rPr>
        <w:t xml:space="preserve"> </w:t>
      </w:r>
      <w:r w:rsidR="004F442B" w:rsidRPr="00FC7157">
        <w:rPr>
          <w:rFonts w:asciiTheme="majorBidi" w:hAnsiTheme="majorBidi" w:cstheme="majorBidi"/>
          <w:color w:val="000000" w:themeColor="text1"/>
          <w:sz w:val="24"/>
          <w:szCs w:val="24"/>
        </w:rPr>
        <w:t>with low TSH and high level of T3 and T4</w:t>
      </w:r>
      <w:r w:rsidR="00765559" w:rsidRPr="00FC7157">
        <w:rPr>
          <w:rFonts w:asciiTheme="majorBidi" w:hAnsiTheme="majorBidi" w:cstheme="majorBidi"/>
          <w:color w:val="000000" w:themeColor="text1"/>
          <w:sz w:val="24"/>
          <w:szCs w:val="24"/>
        </w:rPr>
        <w:t xml:space="preserve">. Patients were recruited from the National Diabetes Center, </w:t>
      </w:r>
      <w:proofErr w:type="spellStart"/>
      <w:r w:rsidR="00765559" w:rsidRPr="00FC7157">
        <w:rPr>
          <w:rFonts w:asciiTheme="majorBidi" w:hAnsiTheme="majorBidi" w:cstheme="majorBidi"/>
          <w:color w:val="000000" w:themeColor="text1"/>
          <w:sz w:val="24"/>
          <w:szCs w:val="24"/>
        </w:rPr>
        <w:t>Mustansiriyah</w:t>
      </w:r>
      <w:proofErr w:type="spellEnd"/>
      <w:r w:rsidR="00765559" w:rsidRPr="00FC7157">
        <w:rPr>
          <w:rFonts w:asciiTheme="majorBidi" w:hAnsiTheme="majorBidi" w:cstheme="majorBidi"/>
          <w:color w:val="000000" w:themeColor="text1"/>
          <w:sz w:val="24"/>
          <w:szCs w:val="24"/>
        </w:rPr>
        <w:t xml:space="preserve"> University, and Al-Yarmou</w:t>
      </w:r>
      <w:r w:rsidR="00D91CC2" w:rsidRPr="00FC7157">
        <w:rPr>
          <w:rFonts w:asciiTheme="majorBidi" w:hAnsiTheme="majorBidi" w:cstheme="majorBidi"/>
          <w:color w:val="000000" w:themeColor="text1"/>
          <w:sz w:val="24"/>
          <w:szCs w:val="24"/>
        </w:rPr>
        <w:t xml:space="preserve">k Teaching Hospital in Baghdad. The duration of the study was extended from November, 2023 until March, 2024. </w:t>
      </w:r>
      <w:r w:rsidR="00765559" w:rsidRPr="00FC7157">
        <w:rPr>
          <w:rFonts w:asciiTheme="majorBidi" w:hAnsiTheme="majorBidi" w:cstheme="majorBidi"/>
          <w:color w:val="000000" w:themeColor="text1"/>
          <w:sz w:val="24"/>
          <w:szCs w:val="24"/>
        </w:rPr>
        <w:t>Pregnant women</w:t>
      </w:r>
      <w:r w:rsidR="00765559" w:rsidRPr="00A23055">
        <w:rPr>
          <w:rFonts w:asciiTheme="majorBidi" w:hAnsiTheme="majorBidi" w:cstheme="majorBidi"/>
          <w:sz w:val="24"/>
          <w:szCs w:val="24"/>
        </w:rPr>
        <w:t>, women using hormonal contraceptives, individuals with a history of thyroidectomy, those with liver or kidney disease, and individuals currently using biotin were excluded from the study.</w:t>
      </w:r>
    </w:p>
    <w:p w14:paraId="56A6ADE7" w14:textId="77777777" w:rsidR="00765559" w:rsidRPr="00A23055" w:rsidRDefault="00765559" w:rsidP="00BA14A2">
      <w:pPr>
        <w:spacing w:after="0" w:line="252" w:lineRule="auto"/>
        <w:jc w:val="both"/>
        <w:rPr>
          <w:rFonts w:asciiTheme="majorBidi" w:hAnsiTheme="majorBidi" w:cstheme="majorBidi"/>
          <w:b/>
          <w:bCs/>
          <w:sz w:val="24"/>
          <w:szCs w:val="24"/>
        </w:rPr>
      </w:pPr>
      <w:r w:rsidRPr="00A23055">
        <w:rPr>
          <w:rFonts w:asciiTheme="majorBidi" w:hAnsiTheme="majorBidi" w:cstheme="majorBidi"/>
          <w:b/>
          <w:bCs/>
          <w:sz w:val="24"/>
          <w:szCs w:val="24"/>
        </w:rPr>
        <w:t>Methods</w:t>
      </w:r>
    </w:p>
    <w:p w14:paraId="536A5926" w14:textId="77777777" w:rsidR="006671F1" w:rsidRPr="00A23055" w:rsidRDefault="006671F1" w:rsidP="00BA14A2">
      <w:pPr>
        <w:spacing w:after="0" w:line="252" w:lineRule="auto"/>
        <w:jc w:val="both"/>
        <w:rPr>
          <w:rFonts w:asciiTheme="majorBidi" w:hAnsiTheme="majorBidi" w:cstheme="majorBidi"/>
          <w:b/>
          <w:bCs/>
          <w:sz w:val="24"/>
          <w:szCs w:val="24"/>
        </w:rPr>
      </w:pPr>
      <w:r w:rsidRPr="00A23055">
        <w:rPr>
          <w:rFonts w:asciiTheme="majorBidi" w:hAnsiTheme="majorBidi" w:cstheme="majorBidi"/>
          <w:b/>
          <w:bCs/>
          <w:sz w:val="24"/>
          <w:szCs w:val="24"/>
        </w:rPr>
        <w:t>Biochemical examination</w:t>
      </w:r>
    </w:p>
    <w:p w14:paraId="1B7982F3" w14:textId="06F6CE8F" w:rsidR="004C7BD9" w:rsidRPr="00A23055" w:rsidRDefault="006671F1" w:rsidP="00BA14A2">
      <w:pPr>
        <w:spacing w:after="0" w:line="252" w:lineRule="auto"/>
        <w:ind w:firstLine="426"/>
        <w:jc w:val="both"/>
        <w:rPr>
          <w:rFonts w:asciiTheme="majorBidi" w:eastAsia="Times New Roman" w:hAnsiTheme="majorBidi" w:cstheme="majorBidi"/>
          <w:sz w:val="24"/>
          <w:szCs w:val="24"/>
        </w:rPr>
      </w:pPr>
      <w:r w:rsidRPr="00A23055">
        <w:rPr>
          <w:rFonts w:asciiTheme="majorBidi" w:eastAsia="Times New Roman" w:hAnsiTheme="majorBidi" w:cstheme="majorBidi"/>
          <w:sz w:val="24"/>
          <w:szCs w:val="24"/>
        </w:rPr>
        <w:t xml:space="preserve">The Cobas E411 system employs automated technology for accurate thyroid hormone (TSH, T3, and T4) analysis. The TSH hormone measured according to the sandwich principle is utilized, where a biotinylated antibody and a ruthenium-labeled antibody bind to different sites on the TSH antigen. The captured complex emits light upon electrical stimulation, and the light intensity directly correlates with the TSH concentration in the sample. While competitive principle is applied to evaluate T3 and T4 where a ruthenium-labeled antibody competes with the target hormone (T3 or T4) for binding sites. The remaining unbound antibody is captured, and its emitted light </w:t>
      </w:r>
      <w:r w:rsidRPr="00A23055">
        <w:rPr>
          <w:rFonts w:asciiTheme="majorBidi" w:eastAsia="Times New Roman" w:hAnsiTheme="majorBidi" w:cstheme="majorBidi"/>
          <w:sz w:val="24"/>
          <w:szCs w:val="24"/>
        </w:rPr>
        <w:t>intensity inversely reflects the hormone concentration in the sample.</w:t>
      </w:r>
    </w:p>
    <w:p w14:paraId="1FA1761A" w14:textId="77777777" w:rsidR="006671F1" w:rsidRPr="00A23055" w:rsidRDefault="006671F1" w:rsidP="00BA14A2">
      <w:pPr>
        <w:spacing w:after="0" w:line="252" w:lineRule="auto"/>
        <w:jc w:val="both"/>
        <w:rPr>
          <w:rFonts w:asciiTheme="majorBidi" w:eastAsia="Times New Roman" w:hAnsiTheme="majorBidi" w:cstheme="majorBidi"/>
          <w:b/>
          <w:bCs/>
          <w:sz w:val="24"/>
          <w:szCs w:val="24"/>
        </w:rPr>
      </w:pPr>
      <w:r w:rsidRPr="00A23055">
        <w:rPr>
          <w:rFonts w:asciiTheme="majorBidi" w:eastAsia="Times New Roman" w:hAnsiTheme="majorBidi" w:cstheme="majorBidi"/>
          <w:b/>
          <w:bCs/>
          <w:sz w:val="24"/>
          <w:szCs w:val="24"/>
        </w:rPr>
        <w:t>IL-10 Serum Level Measurement</w:t>
      </w:r>
    </w:p>
    <w:p w14:paraId="103C8469" w14:textId="586C894F" w:rsidR="006671F1" w:rsidRDefault="006671F1" w:rsidP="00BA14A2">
      <w:pPr>
        <w:spacing w:after="0" w:line="252" w:lineRule="auto"/>
        <w:ind w:firstLine="426"/>
        <w:jc w:val="both"/>
        <w:rPr>
          <w:rFonts w:asciiTheme="majorBidi" w:hAnsiTheme="majorBidi" w:cstheme="majorBidi"/>
          <w:sz w:val="24"/>
          <w:szCs w:val="24"/>
        </w:rPr>
      </w:pPr>
      <w:r w:rsidRPr="00A23055">
        <w:rPr>
          <w:rFonts w:asciiTheme="majorBidi" w:hAnsiTheme="majorBidi" w:cstheme="majorBidi"/>
          <w:sz w:val="24"/>
          <w:szCs w:val="24"/>
        </w:rPr>
        <w:t xml:space="preserve">Serum IL-10 levels were measured using a sandwich ELISA </w:t>
      </w:r>
      <w:r w:rsidR="00BE6859" w:rsidRPr="00A23055">
        <w:rPr>
          <w:rFonts w:asciiTheme="majorBidi" w:hAnsiTheme="majorBidi" w:cstheme="majorBidi"/>
          <w:sz w:val="24"/>
          <w:szCs w:val="24"/>
        </w:rPr>
        <w:t>kit (Innova Biotech, China; cat no.</w:t>
      </w:r>
      <w:r w:rsidRPr="00A23055">
        <w:rPr>
          <w:rFonts w:asciiTheme="majorBidi" w:hAnsiTheme="majorBidi" w:cstheme="majorBidi"/>
          <w:sz w:val="24"/>
          <w:szCs w:val="24"/>
        </w:rPr>
        <w:t>In-Hu2131). This technique involves capturing IL-10 in the sample with specific antibodies, followed by the addition of HRP-conjugated antibodies. After incubation and washing, a colorimetric reaction is catalyzed by HRP, and the resulting absorbance at 450 nm is directly proportional to the IL-10 concentration in the sample</w:t>
      </w:r>
      <w:r w:rsidR="00BE6859" w:rsidRPr="00A23055">
        <w:rPr>
          <w:rFonts w:asciiTheme="majorBidi" w:hAnsiTheme="majorBidi" w:cstheme="majorBidi"/>
          <w:sz w:val="24"/>
          <w:szCs w:val="24"/>
        </w:rPr>
        <w:t xml:space="preserve">.IL-10 level </w:t>
      </w:r>
      <w:r w:rsidR="004C7BD9" w:rsidRPr="00A23055">
        <w:rPr>
          <w:rFonts w:asciiTheme="majorBidi" w:hAnsiTheme="majorBidi" w:cstheme="majorBidi"/>
          <w:sz w:val="24"/>
          <w:szCs w:val="24"/>
        </w:rPr>
        <w:t xml:space="preserve">was </w:t>
      </w:r>
      <w:r w:rsidR="00BE6859" w:rsidRPr="00A23055">
        <w:rPr>
          <w:rFonts w:asciiTheme="majorBidi" w:hAnsiTheme="majorBidi" w:cstheme="majorBidi"/>
          <w:sz w:val="24"/>
          <w:szCs w:val="24"/>
        </w:rPr>
        <w:t xml:space="preserve">finally measured in </w:t>
      </w:r>
      <w:proofErr w:type="spellStart"/>
      <w:r w:rsidR="00BE6859" w:rsidRPr="00A23055">
        <w:rPr>
          <w:rFonts w:asciiTheme="majorBidi" w:hAnsiTheme="majorBidi" w:cstheme="majorBidi"/>
          <w:sz w:val="24"/>
          <w:szCs w:val="24"/>
        </w:rPr>
        <w:t>pg</w:t>
      </w:r>
      <w:proofErr w:type="spellEnd"/>
      <w:r w:rsidR="00BE6859" w:rsidRPr="00A23055">
        <w:rPr>
          <w:rFonts w:asciiTheme="majorBidi" w:hAnsiTheme="majorBidi" w:cstheme="majorBidi"/>
          <w:sz w:val="24"/>
          <w:szCs w:val="24"/>
        </w:rPr>
        <w:t>/ml.</w:t>
      </w:r>
    </w:p>
    <w:p w14:paraId="7CB07620" w14:textId="77777777" w:rsidR="004766F5" w:rsidRPr="00A23055" w:rsidRDefault="004766F5" w:rsidP="00BA14A2">
      <w:pPr>
        <w:spacing w:after="0" w:line="252" w:lineRule="auto"/>
        <w:jc w:val="both"/>
        <w:rPr>
          <w:rFonts w:asciiTheme="majorBidi" w:hAnsiTheme="majorBidi" w:cstheme="majorBidi"/>
          <w:b/>
          <w:bCs/>
          <w:sz w:val="24"/>
          <w:szCs w:val="24"/>
          <w:lang w:bidi="ar-IQ"/>
        </w:rPr>
      </w:pPr>
      <w:r w:rsidRPr="00A23055">
        <w:rPr>
          <w:rFonts w:asciiTheme="majorBidi" w:hAnsiTheme="majorBidi" w:cstheme="majorBidi"/>
          <w:b/>
          <w:bCs/>
          <w:sz w:val="24"/>
          <w:szCs w:val="24"/>
          <w:lang w:bidi="ar-IQ"/>
        </w:rPr>
        <w:t>Anti-thyroid peroxidase antibodies (Anti-TPO)</w:t>
      </w:r>
    </w:p>
    <w:p w14:paraId="18B09C7E" w14:textId="77777777" w:rsidR="004766F5" w:rsidRPr="00A23055" w:rsidRDefault="004766F5" w:rsidP="00BA14A2">
      <w:pPr>
        <w:spacing w:after="0" w:line="252" w:lineRule="auto"/>
        <w:ind w:firstLine="426"/>
        <w:jc w:val="both"/>
        <w:rPr>
          <w:rFonts w:asciiTheme="majorBidi" w:eastAsia="Times New Roman" w:hAnsiTheme="majorBidi" w:cstheme="majorBidi"/>
          <w:b/>
          <w:bCs/>
          <w:sz w:val="24"/>
          <w:szCs w:val="24"/>
        </w:rPr>
      </w:pPr>
      <w:r w:rsidRPr="00A23055">
        <w:rPr>
          <w:rFonts w:asciiTheme="majorBidi" w:hAnsiTheme="majorBidi" w:cstheme="majorBidi"/>
          <w:sz w:val="24"/>
          <w:szCs w:val="24"/>
        </w:rPr>
        <w:t>Anti-TPO antibody levels were assessed using an indirect ELISA (</w:t>
      </w:r>
      <w:proofErr w:type="spellStart"/>
      <w:r w:rsidRPr="00A23055">
        <w:rPr>
          <w:rFonts w:asciiTheme="majorBidi" w:hAnsiTheme="majorBidi" w:cstheme="majorBidi"/>
          <w:sz w:val="24"/>
          <w:szCs w:val="24"/>
        </w:rPr>
        <w:t>Demeditec</w:t>
      </w:r>
      <w:proofErr w:type="spellEnd"/>
      <w:r w:rsidRPr="00A23055">
        <w:rPr>
          <w:rFonts w:asciiTheme="majorBidi" w:hAnsiTheme="majorBidi" w:cstheme="majorBidi"/>
          <w:sz w:val="24"/>
          <w:szCs w:val="24"/>
        </w:rPr>
        <w:t xml:space="preserve"> company, Germany. Cat no.DE7580)</w:t>
      </w:r>
      <w:r w:rsidR="00B37373" w:rsidRPr="00A23055">
        <w:rPr>
          <w:rFonts w:asciiTheme="majorBidi" w:hAnsiTheme="majorBidi" w:cstheme="majorBidi"/>
          <w:sz w:val="24"/>
          <w:szCs w:val="24"/>
        </w:rPr>
        <w:t>.</w:t>
      </w:r>
      <w:r w:rsidR="004C7BD9" w:rsidRPr="00A23055">
        <w:rPr>
          <w:rFonts w:asciiTheme="majorBidi" w:hAnsiTheme="majorBidi" w:cstheme="majorBidi"/>
          <w:sz w:val="24"/>
          <w:szCs w:val="24"/>
        </w:rPr>
        <w:t xml:space="preserve"> </w:t>
      </w:r>
      <w:r w:rsidRPr="00A23055">
        <w:rPr>
          <w:rFonts w:asciiTheme="majorBidi" w:hAnsiTheme="majorBidi" w:cstheme="majorBidi"/>
          <w:sz w:val="24"/>
          <w:szCs w:val="24"/>
        </w:rPr>
        <w:t>The assay utilized TPO-coated microplates to capture patient antibodies. Following incubation and washing steps, enzyme-conjugated secondary antibodies were added to bind to the captured patient antibodies. A subsequent enzymatic reaction generated a colored product, the intensity of which, measured at 450 nm, was proportional to the concentration of anti-TPO antibodies.</w:t>
      </w:r>
      <w:r w:rsidR="00B37373" w:rsidRPr="00A23055">
        <w:rPr>
          <w:rFonts w:asciiTheme="majorBidi" w:hAnsiTheme="majorBidi" w:cstheme="majorBidi"/>
          <w:sz w:val="24"/>
          <w:szCs w:val="24"/>
        </w:rPr>
        <w:t xml:space="preserve"> The TPO-Ab serum level was measured in IU/ml.</w:t>
      </w:r>
    </w:p>
    <w:p w14:paraId="4A7052C8" w14:textId="77777777" w:rsidR="00765559" w:rsidRPr="00A23055" w:rsidRDefault="00765559" w:rsidP="00BA14A2">
      <w:pPr>
        <w:spacing w:after="0" w:line="252" w:lineRule="auto"/>
        <w:jc w:val="both"/>
        <w:rPr>
          <w:rFonts w:asciiTheme="majorBidi" w:hAnsiTheme="majorBidi" w:cstheme="majorBidi"/>
          <w:b/>
          <w:bCs/>
          <w:sz w:val="24"/>
          <w:szCs w:val="24"/>
        </w:rPr>
      </w:pPr>
      <w:r w:rsidRPr="00A23055">
        <w:rPr>
          <w:rFonts w:asciiTheme="majorBidi" w:hAnsiTheme="majorBidi" w:cstheme="majorBidi"/>
          <w:b/>
          <w:bCs/>
          <w:sz w:val="24"/>
          <w:szCs w:val="24"/>
        </w:rPr>
        <w:t>Statistical Analysis</w:t>
      </w:r>
    </w:p>
    <w:p w14:paraId="5224A7A9" w14:textId="77777777" w:rsidR="00FB5361" w:rsidRPr="00A23055" w:rsidRDefault="00FB5361" w:rsidP="00BA14A2">
      <w:pPr>
        <w:spacing w:after="0" w:line="252" w:lineRule="auto"/>
        <w:ind w:firstLine="426"/>
        <w:jc w:val="both"/>
        <w:rPr>
          <w:rFonts w:asciiTheme="majorBidi" w:hAnsiTheme="majorBidi" w:cstheme="majorBidi"/>
          <w:sz w:val="24"/>
          <w:szCs w:val="24"/>
        </w:rPr>
      </w:pPr>
      <w:r w:rsidRPr="00A23055">
        <w:rPr>
          <w:rFonts w:asciiTheme="majorBidi" w:hAnsiTheme="majorBidi" w:cstheme="majorBidi"/>
          <w:sz w:val="24"/>
          <w:szCs w:val="24"/>
        </w:rPr>
        <w:t xml:space="preserve">Data were analyzed using SPSS version 26. Descriptive statistics (mean ± SD) were calculated. Normality was assessed with the Shapiro-Wilk test. Independent t-tests were used to compare groups. </w:t>
      </w:r>
      <w:r w:rsidR="004050B8" w:rsidRPr="00A23055">
        <w:rPr>
          <w:rFonts w:asciiTheme="majorBidi" w:hAnsiTheme="majorBidi" w:cstheme="majorBidi"/>
          <w:sz w:val="24"/>
          <w:szCs w:val="24"/>
        </w:rPr>
        <w:t>Receiver Operating Characteristic (ROC) Curves w</w:t>
      </w:r>
      <w:r w:rsidR="004C7BD9" w:rsidRPr="00A23055">
        <w:rPr>
          <w:rFonts w:asciiTheme="majorBidi" w:hAnsiTheme="majorBidi" w:cstheme="majorBidi"/>
          <w:sz w:val="24"/>
          <w:szCs w:val="24"/>
        </w:rPr>
        <w:t>ere</w:t>
      </w:r>
      <w:r w:rsidR="004050B8" w:rsidRPr="00A23055">
        <w:rPr>
          <w:rFonts w:asciiTheme="majorBidi" w:hAnsiTheme="majorBidi" w:cstheme="majorBidi"/>
          <w:sz w:val="24"/>
          <w:szCs w:val="24"/>
        </w:rPr>
        <w:t xml:space="preserve"> employed for Study parameters. Pearson correlation used that evaluate the strength and direction of the linear relationship between two continuous </w:t>
      </w:r>
      <w:r w:rsidR="004050B8" w:rsidRPr="00A23055">
        <w:rPr>
          <w:rFonts w:asciiTheme="majorBidi" w:hAnsiTheme="majorBidi" w:cstheme="majorBidi"/>
          <w:sz w:val="24"/>
          <w:szCs w:val="24"/>
        </w:rPr>
        <w:lastRenderedPageBreak/>
        <w:t xml:space="preserve">variables. </w:t>
      </w:r>
      <w:r w:rsidRPr="00A23055">
        <w:rPr>
          <w:rFonts w:asciiTheme="majorBidi" w:hAnsiTheme="majorBidi" w:cstheme="majorBidi"/>
          <w:sz w:val="24"/>
          <w:szCs w:val="24"/>
        </w:rPr>
        <w:t>Statistical significance was determined at p &lt; 0.05.</w:t>
      </w:r>
    </w:p>
    <w:p w14:paraId="6340D28A" w14:textId="77777777" w:rsidR="00765559" w:rsidRPr="00A23055" w:rsidRDefault="00765559" w:rsidP="00BA14A2">
      <w:pPr>
        <w:spacing w:after="0" w:line="252" w:lineRule="auto"/>
        <w:jc w:val="both"/>
        <w:rPr>
          <w:rFonts w:asciiTheme="majorBidi" w:hAnsiTheme="majorBidi" w:cstheme="majorBidi"/>
          <w:b/>
          <w:bCs/>
          <w:sz w:val="24"/>
          <w:szCs w:val="24"/>
        </w:rPr>
      </w:pPr>
      <w:r w:rsidRPr="00A23055">
        <w:rPr>
          <w:rFonts w:asciiTheme="majorBidi" w:hAnsiTheme="majorBidi" w:cstheme="majorBidi"/>
          <w:b/>
          <w:bCs/>
          <w:sz w:val="24"/>
          <w:szCs w:val="24"/>
        </w:rPr>
        <w:t>Results</w:t>
      </w:r>
    </w:p>
    <w:p w14:paraId="48D9D14C" w14:textId="77777777" w:rsidR="00DB4C04" w:rsidRPr="00A23055" w:rsidRDefault="00006549" w:rsidP="00BA14A2">
      <w:pPr>
        <w:spacing w:after="0" w:line="252" w:lineRule="auto"/>
        <w:jc w:val="both"/>
        <w:rPr>
          <w:rFonts w:asciiTheme="majorBidi" w:hAnsiTheme="majorBidi" w:cstheme="majorBidi"/>
          <w:b/>
          <w:bCs/>
          <w:sz w:val="24"/>
          <w:szCs w:val="24"/>
        </w:rPr>
      </w:pPr>
      <w:r w:rsidRPr="00A23055">
        <w:rPr>
          <w:rFonts w:asciiTheme="majorBidi" w:hAnsiTheme="majorBidi" w:cstheme="majorBidi"/>
          <w:b/>
          <w:bCs/>
          <w:sz w:val="24"/>
          <w:szCs w:val="24"/>
        </w:rPr>
        <w:t xml:space="preserve">1. </w:t>
      </w:r>
      <w:r w:rsidR="00DB4C04" w:rsidRPr="00A23055">
        <w:rPr>
          <w:rFonts w:asciiTheme="majorBidi" w:hAnsiTheme="majorBidi" w:cstheme="majorBidi"/>
          <w:b/>
          <w:bCs/>
          <w:sz w:val="24"/>
          <w:szCs w:val="24"/>
        </w:rPr>
        <w:t>Demographic Characterized</w:t>
      </w:r>
    </w:p>
    <w:p w14:paraId="7E2C855C" w14:textId="3ACE234A" w:rsidR="007A2FAB" w:rsidRPr="00A23055" w:rsidRDefault="007A2FAB" w:rsidP="005643D9">
      <w:pPr>
        <w:spacing w:after="0" w:line="252" w:lineRule="auto"/>
        <w:ind w:firstLine="426"/>
        <w:jc w:val="both"/>
        <w:rPr>
          <w:rFonts w:asciiTheme="majorBidi" w:hAnsiTheme="majorBidi" w:cstheme="majorBidi"/>
          <w:sz w:val="24"/>
          <w:szCs w:val="24"/>
        </w:rPr>
      </w:pPr>
      <w:r w:rsidRPr="00D3134F">
        <w:rPr>
          <w:rFonts w:asciiTheme="majorBidi" w:hAnsiTheme="majorBidi" w:cstheme="majorBidi"/>
          <w:sz w:val="24"/>
          <w:szCs w:val="24"/>
        </w:rPr>
        <w:t xml:space="preserve">Table </w:t>
      </w:r>
      <w:r w:rsidR="00D3134F" w:rsidRPr="00D3134F">
        <w:rPr>
          <w:rFonts w:asciiTheme="majorBidi" w:hAnsiTheme="majorBidi" w:cstheme="majorBidi"/>
          <w:sz w:val="24"/>
          <w:szCs w:val="24"/>
        </w:rPr>
        <w:t>(</w:t>
      </w:r>
      <w:r w:rsidRPr="00D3134F">
        <w:rPr>
          <w:rFonts w:asciiTheme="majorBidi" w:hAnsiTheme="majorBidi" w:cstheme="majorBidi"/>
          <w:sz w:val="24"/>
          <w:szCs w:val="24"/>
        </w:rPr>
        <w:t>1</w:t>
      </w:r>
      <w:r w:rsidR="00D3134F" w:rsidRPr="00D3134F">
        <w:rPr>
          <w:rFonts w:asciiTheme="majorBidi" w:hAnsiTheme="majorBidi" w:cstheme="majorBidi"/>
          <w:sz w:val="24"/>
          <w:szCs w:val="24"/>
        </w:rPr>
        <w:t>)</w:t>
      </w:r>
      <w:r w:rsidRPr="00D3134F">
        <w:rPr>
          <w:rFonts w:asciiTheme="majorBidi" w:hAnsiTheme="majorBidi" w:cstheme="majorBidi"/>
          <w:sz w:val="24"/>
          <w:szCs w:val="24"/>
        </w:rPr>
        <w:t xml:space="preserve"> presents </w:t>
      </w:r>
      <w:r w:rsidRPr="00A23055">
        <w:rPr>
          <w:rFonts w:asciiTheme="majorBidi" w:hAnsiTheme="majorBidi" w:cstheme="majorBidi"/>
          <w:sz w:val="24"/>
          <w:szCs w:val="24"/>
        </w:rPr>
        <w:t>the age distribution of participants in a study, comparing a group of patients with a control group.</w:t>
      </w:r>
      <w:r w:rsidR="008340AA" w:rsidRPr="00A23055">
        <w:rPr>
          <w:rFonts w:asciiTheme="majorBidi" w:hAnsiTheme="majorBidi" w:cstheme="majorBidi"/>
          <w:sz w:val="24"/>
          <w:szCs w:val="24"/>
        </w:rPr>
        <w:t xml:space="preserve"> </w:t>
      </w:r>
      <w:r w:rsidRPr="00A23055">
        <w:rPr>
          <w:rFonts w:asciiTheme="majorBidi" w:hAnsiTheme="majorBidi" w:cstheme="majorBidi"/>
          <w:sz w:val="24"/>
          <w:szCs w:val="24"/>
        </w:rPr>
        <w:t>There's a slight difference in the proportion of patients</w:t>
      </w:r>
      <w:r w:rsidR="00DB4C04" w:rsidRPr="00A23055">
        <w:rPr>
          <w:rFonts w:asciiTheme="majorBidi" w:hAnsiTheme="majorBidi" w:cstheme="majorBidi"/>
          <w:sz w:val="24"/>
          <w:szCs w:val="24"/>
        </w:rPr>
        <w:t xml:space="preserve"> (1</w:t>
      </w:r>
      <w:r w:rsidR="005643D9">
        <w:rPr>
          <w:rFonts w:asciiTheme="majorBidi" w:hAnsiTheme="majorBidi" w:cstheme="majorBidi"/>
          <w:sz w:val="24"/>
          <w:szCs w:val="24"/>
        </w:rPr>
        <w:t>7</w:t>
      </w:r>
      <w:r w:rsidR="00DB4C04" w:rsidRPr="00A23055">
        <w:rPr>
          <w:rFonts w:asciiTheme="majorBidi" w:hAnsiTheme="majorBidi" w:cstheme="majorBidi"/>
          <w:sz w:val="24"/>
          <w:szCs w:val="24"/>
        </w:rPr>
        <w:t>%)</w:t>
      </w:r>
      <w:r w:rsidRPr="00A23055">
        <w:rPr>
          <w:rFonts w:asciiTheme="majorBidi" w:hAnsiTheme="majorBidi" w:cstheme="majorBidi"/>
          <w:sz w:val="24"/>
          <w:szCs w:val="24"/>
        </w:rPr>
        <w:t xml:space="preserve"> and controls</w:t>
      </w:r>
      <w:r w:rsidR="00DB4C04" w:rsidRPr="00A23055">
        <w:rPr>
          <w:rFonts w:asciiTheme="majorBidi" w:hAnsiTheme="majorBidi" w:cstheme="majorBidi"/>
          <w:sz w:val="24"/>
          <w:szCs w:val="24"/>
        </w:rPr>
        <w:t xml:space="preserve"> (28%)</w:t>
      </w:r>
      <w:r w:rsidRPr="00A23055">
        <w:rPr>
          <w:rFonts w:asciiTheme="majorBidi" w:hAnsiTheme="majorBidi" w:cstheme="majorBidi"/>
          <w:sz w:val="24"/>
          <w:szCs w:val="24"/>
        </w:rPr>
        <w:t xml:space="preserve"> in (20-30) age group, but it's not statistically significant (NS)</w:t>
      </w:r>
      <w:r w:rsidR="00DB4C04" w:rsidRPr="00A23055">
        <w:rPr>
          <w:rFonts w:asciiTheme="majorBidi" w:hAnsiTheme="majorBidi" w:cstheme="majorBidi"/>
          <w:sz w:val="24"/>
          <w:szCs w:val="24"/>
        </w:rPr>
        <w:t>. The age group category (31-41) has the highest proportion of patients (3</w:t>
      </w:r>
      <w:r w:rsidR="005643D9">
        <w:rPr>
          <w:rFonts w:asciiTheme="majorBidi" w:hAnsiTheme="majorBidi" w:cstheme="majorBidi"/>
          <w:sz w:val="24"/>
          <w:szCs w:val="24"/>
        </w:rPr>
        <w:t>7</w:t>
      </w:r>
      <w:r w:rsidR="00DB4C04" w:rsidRPr="00A23055">
        <w:rPr>
          <w:rFonts w:asciiTheme="majorBidi" w:hAnsiTheme="majorBidi" w:cstheme="majorBidi"/>
          <w:sz w:val="24"/>
          <w:szCs w:val="24"/>
        </w:rPr>
        <w:t xml:space="preserve">%) compared </w:t>
      </w:r>
      <w:r w:rsidR="00DB4C04" w:rsidRPr="00A23055">
        <w:rPr>
          <w:rFonts w:asciiTheme="majorBidi" w:hAnsiTheme="majorBidi" w:cstheme="majorBidi"/>
          <w:sz w:val="24"/>
          <w:szCs w:val="24"/>
        </w:rPr>
        <w:t>to controls (30%).</w:t>
      </w:r>
      <w:r w:rsidR="004C7BD9" w:rsidRPr="00A23055">
        <w:rPr>
          <w:rFonts w:asciiTheme="majorBidi" w:hAnsiTheme="majorBidi" w:cstheme="majorBidi"/>
          <w:sz w:val="24"/>
          <w:szCs w:val="24"/>
        </w:rPr>
        <w:t xml:space="preserve"> </w:t>
      </w:r>
      <w:r w:rsidR="00DB4C04" w:rsidRPr="00A23055">
        <w:rPr>
          <w:rFonts w:asciiTheme="majorBidi" w:hAnsiTheme="majorBidi" w:cstheme="majorBidi"/>
          <w:sz w:val="24"/>
          <w:szCs w:val="24"/>
        </w:rPr>
        <w:t>Furthermore, 2</w:t>
      </w:r>
      <w:r w:rsidR="005643D9">
        <w:rPr>
          <w:rFonts w:asciiTheme="majorBidi" w:hAnsiTheme="majorBidi" w:cstheme="majorBidi"/>
          <w:sz w:val="24"/>
          <w:szCs w:val="24"/>
        </w:rPr>
        <w:t>6</w:t>
      </w:r>
      <w:r w:rsidR="00DB4C04" w:rsidRPr="00A23055">
        <w:rPr>
          <w:rFonts w:asciiTheme="majorBidi" w:hAnsiTheme="majorBidi" w:cstheme="majorBidi"/>
          <w:sz w:val="24"/>
          <w:szCs w:val="24"/>
        </w:rPr>
        <w:t>% and 1</w:t>
      </w:r>
      <w:r w:rsidR="005643D9">
        <w:rPr>
          <w:rFonts w:asciiTheme="majorBidi" w:hAnsiTheme="majorBidi" w:cstheme="majorBidi"/>
          <w:sz w:val="24"/>
          <w:szCs w:val="24"/>
        </w:rPr>
        <w:t>7</w:t>
      </w:r>
      <w:r w:rsidR="00DB4C04" w:rsidRPr="00A23055">
        <w:rPr>
          <w:rFonts w:asciiTheme="majorBidi" w:hAnsiTheme="majorBidi" w:cstheme="majorBidi"/>
          <w:sz w:val="24"/>
          <w:szCs w:val="24"/>
        </w:rPr>
        <w:t>% among age group 42-52 were enrolled.</w:t>
      </w:r>
    </w:p>
    <w:p w14:paraId="5A563F0D" w14:textId="27E7771C" w:rsidR="009F0C04" w:rsidRDefault="00DB4C04" w:rsidP="005643D9">
      <w:pPr>
        <w:spacing w:after="0" w:line="252" w:lineRule="auto"/>
        <w:ind w:firstLine="426"/>
        <w:jc w:val="both"/>
        <w:rPr>
          <w:rFonts w:asciiTheme="majorBidi" w:hAnsiTheme="majorBidi" w:cstheme="majorBidi"/>
          <w:sz w:val="24"/>
          <w:szCs w:val="24"/>
        </w:rPr>
      </w:pPr>
      <w:r w:rsidRPr="00A23055">
        <w:rPr>
          <w:rFonts w:asciiTheme="majorBidi" w:hAnsiTheme="majorBidi" w:cstheme="majorBidi"/>
          <w:sz w:val="24"/>
          <w:szCs w:val="24"/>
        </w:rPr>
        <w:t>The higher proportion of patients (2</w:t>
      </w:r>
      <w:r w:rsidR="005643D9">
        <w:rPr>
          <w:rFonts w:asciiTheme="majorBidi" w:hAnsiTheme="majorBidi" w:cstheme="majorBidi"/>
          <w:sz w:val="24"/>
          <w:szCs w:val="24"/>
        </w:rPr>
        <w:t>9</w:t>
      </w:r>
      <w:r w:rsidRPr="00A23055">
        <w:rPr>
          <w:rFonts w:asciiTheme="majorBidi" w:hAnsiTheme="majorBidi" w:cstheme="majorBidi"/>
          <w:sz w:val="24"/>
          <w:szCs w:val="24"/>
        </w:rPr>
        <w:t xml:space="preserve">%) compared to controls (16%) among </w:t>
      </w:r>
      <w:r w:rsidR="004C7BD9" w:rsidRPr="00A23055">
        <w:rPr>
          <w:rFonts w:asciiTheme="majorBidi" w:hAnsiTheme="majorBidi" w:cstheme="majorBidi"/>
          <w:sz w:val="24"/>
          <w:szCs w:val="24"/>
        </w:rPr>
        <w:t xml:space="preserve">the </w:t>
      </w:r>
      <w:r w:rsidR="005643D9">
        <w:rPr>
          <w:rFonts w:asciiTheme="majorBidi" w:hAnsiTheme="majorBidi" w:cstheme="majorBidi"/>
          <w:sz w:val="24"/>
          <w:szCs w:val="24"/>
        </w:rPr>
        <w:t>(54-6</w:t>
      </w:r>
      <w:r w:rsidR="008409F6">
        <w:rPr>
          <w:rFonts w:asciiTheme="majorBidi" w:hAnsiTheme="majorBidi" w:cstheme="majorBidi" w:hint="cs"/>
          <w:sz w:val="24"/>
          <w:szCs w:val="24"/>
          <w:rtl/>
        </w:rPr>
        <w:t>0</w:t>
      </w:r>
      <w:r w:rsidR="005643D9">
        <w:rPr>
          <w:rFonts w:asciiTheme="majorBidi" w:hAnsiTheme="majorBidi" w:cstheme="majorBidi"/>
          <w:sz w:val="24"/>
          <w:szCs w:val="24"/>
        </w:rPr>
        <w:t>) age group. This</w:t>
      </w:r>
      <w:r w:rsidRPr="00A23055">
        <w:rPr>
          <w:rFonts w:asciiTheme="majorBidi" w:hAnsiTheme="majorBidi" w:cstheme="majorBidi"/>
          <w:sz w:val="24"/>
          <w:szCs w:val="24"/>
        </w:rPr>
        <w:t xml:space="preserve"> observation suggests a potential association between older age and thyroid disorders. </w:t>
      </w:r>
      <w:r w:rsidR="007A2FAB" w:rsidRPr="00A23055">
        <w:rPr>
          <w:rFonts w:asciiTheme="majorBidi" w:hAnsiTheme="majorBidi" w:cstheme="majorBidi"/>
          <w:sz w:val="24"/>
          <w:szCs w:val="24"/>
        </w:rPr>
        <w:t>The mean age of patients (43.54) is slightly higher than that of controls (39.02)</w:t>
      </w:r>
      <w:r w:rsidRPr="00A23055">
        <w:rPr>
          <w:rFonts w:asciiTheme="majorBidi" w:hAnsiTheme="majorBidi" w:cstheme="majorBidi"/>
          <w:sz w:val="24"/>
          <w:szCs w:val="24"/>
        </w:rPr>
        <w:t xml:space="preserve"> but without significant difference (P-value =0.07)</w:t>
      </w:r>
      <w:r w:rsidR="007A2FAB" w:rsidRPr="00A23055">
        <w:rPr>
          <w:rFonts w:asciiTheme="majorBidi" w:hAnsiTheme="majorBidi" w:cstheme="majorBidi"/>
          <w:sz w:val="24"/>
          <w:szCs w:val="24"/>
        </w:rPr>
        <w:t>.</w:t>
      </w:r>
      <w:r w:rsidR="00006549" w:rsidRPr="00A23055">
        <w:rPr>
          <w:rFonts w:asciiTheme="majorBidi" w:hAnsiTheme="majorBidi" w:cstheme="majorBidi"/>
          <w:sz w:val="24"/>
          <w:szCs w:val="24"/>
        </w:rPr>
        <w:t xml:space="preserve"> Table </w:t>
      </w:r>
      <w:r w:rsidR="00524CDD">
        <w:rPr>
          <w:rFonts w:asciiTheme="majorBidi" w:hAnsiTheme="majorBidi" w:cstheme="majorBidi"/>
          <w:sz w:val="24"/>
          <w:szCs w:val="24"/>
        </w:rPr>
        <w:t>(</w:t>
      </w:r>
      <w:r w:rsidR="00006549" w:rsidRPr="00A23055">
        <w:rPr>
          <w:rFonts w:asciiTheme="majorBidi" w:hAnsiTheme="majorBidi" w:cstheme="majorBidi"/>
          <w:sz w:val="24"/>
          <w:szCs w:val="24"/>
        </w:rPr>
        <w:t>1</w:t>
      </w:r>
      <w:r w:rsidR="00524CDD">
        <w:rPr>
          <w:rFonts w:asciiTheme="majorBidi" w:hAnsiTheme="majorBidi" w:cstheme="majorBidi"/>
          <w:sz w:val="24"/>
          <w:szCs w:val="24"/>
        </w:rPr>
        <w:t>)</w:t>
      </w:r>
      <w:r w:rsidR="00006549" w:rsidRPr="00A23055">
        <w:rPr>
          <w:rFonts w:asciiTheme="majorBidi" w:hAnsiTheme="majorBidi" w:cstheme="majorBidi"/>
          <w:sz w:val="24"/>
          <w:szCs w:val="24"/>
        </w:rPr>
        <w:t xml:space="preserve"> show</w:t>
      </w:r>
      <w:r w:rsidR="004C7BD9" w:rsidRPr="00A23055">
        <w:rPr>
          <w:rFonts w:asciiTheme="majorBidi" w:hAnsiTheme="majorBidi" w:cstheme="majorBidi"/>
          <w:sz w:val="24"/>
          <w:szCs w:val="24"/>
        </w:rPr>
        <w:t>s</w:t>
      </w:r>
      <w:r w:rsidR="00006549" w:rsidRPr="00A23055">
        <w:rPr>
          <w:rFonts w:asciiTheme="majorBidi" w:hAnsiTheme="majorBidi" w:cstheme="majorBidi"/>
          <w:sz w:val="24"/>
          <w:szCs w:val="24"/>
        </w:rPr>
        <w:t xml:space="preserve"> the result.</w:t>
      </w:r>
    </w:p>
    <w:p w14:paraId="40E209FD" w14:textId="77777777" w:rsidR="00524CDD" w:rsidRDefault="00524CDD" w:rsidP="00BA14A2">
      <w:pPr>
        <w:spacing w:after="0" w:line="252" w:lineRule="auto"/>
        <w:ind w:firstLine="426"/>
        <w:jc w:val="both"/>
        <w:rPr>
          <w:rFonts w:asciiTheme="majorBidi" w:hAnsiTheme="majorBidi" w:cstheme="majorBidi"/>
          <w:sz w:val="24"/>
          <w:szCs w:val="24"/>
        </w:rPr>
        <w:sectPr w:rsidR="00524CDD" w:rsidSect="009F0C04">
          <w:type w:val="continuous"/>
          <w:pgSz w:w="11906" w:h="16838" w:code="9"/>
          <w:pgMar w:top="1701" w:right="1701" w:bottom="1701" w:left="1701" w:header="720" w:footer="720" w:gutter="0"/>
          <w:cols w:num="2" w:space="720"/>
          <w:titlePg/>
          <w:docGrid w:linePitch="360"/>
        </w:sectPr>
      </w:pPr>
    </w:p>
    <w:p w14:paraId="0D050BA4" w14:textId="3F772F16" w:rsidR="007A2FAB" w:rsidRDefault="007A2FAB" w:rsidP="00BA14A2">
      <w:pPr>
        <w:spacing w:after="0" w:line="252" w:lineRule="auto"/>
        <w:ind w:firstLine="426"/>
        <w:jc w:val="both"/>
        <w:rPr>
          <w:rFonts w:asciiTheme="majorBidi" w:hAnsiTheme="majorBidi" w:cstheme="majorBidi"/>
          <w:sz w:val="24"/>
          <w:szCs w:val="24"/>
        </w:rPr>
      </w:pPr>
    </w:p>
    <w:p w14:paraId="159C57BD" w14:textId="639BA8EB" w:rsidR="007713C5" w:rsidRPr="00C50EBA" w:rsidRDefault="007713C5" w:rsidP="00BA14A2">
      <w:pPr>
        <w:spacing w:after="0" w:line="252" w:lineRule="auto"/>
        <w:jc w:val="center"/>
        <w:rPr>
          <w:rFonts w:asciiTheme="majorBidi" w:eastAsia="Calibri" w:hAnsiTheme="majorBidi" w:cstheme="majorBidi"/>
          <w:b/>
          <w:bCs/>
          <w:sz w:val="20"/>
          <w:szCs w:val="20"/>
        </w:rPr>
      </w:pPr>
      <w:bookmarkStart w:id="9" w:name="_Hlk134025165"/>
      <w:r w:rsidRPr="00C50EBA">
        <w:rPr>
          <w:rFonts w:asciiTheme="majorBidi" w:eastAsia="Calibri" w:hAnsiTheme="majorBidi" w:cstheme="majorBidi"/>
          <w:b/>
          <w:bCs/>
          <w:sz w:val="20"/>
          <w:szCs w:val="20"/>
        </w:rPr>
        <w:t>Table</w:t>
      </w:r>
      <w:r w:rsidR="004C7BD9" w:rsidRPr="00C50EBA">
        <w:rPr>
          <w:rFonts w:asciiTheme="majorBidi" w:eastAsia="Calibri" w:hAnsiTheme="majorBidi" w:cstheme="majorBidi"/>
          <w:b/>
          <w:bCs/>
          <w:sz w:val="20"/>
          <w:szCs w:val="20"/>
        </w:rPr>
        <w:t xml:space="preserve"> </w:t>
      </w:r>
      <w:r w:rsidR="00C50EBA" w:rsidRPr="00C50EBA">
        <w:rPr>
          <w:rFonts w:asciiTheme="majorBidi" w:eastAsia="Calibri" w:hAnsiTheme="majorBidi" w:cstheme="majorBidi"/>
          <w:b/>
          <w:bCs/>
          <w:sz w:val="20"/>
          <w:szCs w:val="20"/>
        </w:rPr>
        <w:t>(</w:t>
      </w:r>
      <w:r w:rsidR="004F71C1" w:rsidRPr="00C50EBA">
        <w:rPr>
          <w:rFonts w:asciiTheme="majorBidi" w:eastAsia="Calibri" w:hAnsiTheme="majorBidi" w:cstheme="majorBidi"/>
          <w:b/>
          <w:bCs/>
          <w:sz w:val="20"/>
          <w:szCs w:val="20"/>
        </w:rPr>
        <w:t>1</w:t>
      </w:r>
      <w:r w:rsidR="00C50EBA" w:rsidRPr="00C50EBA">
        <w:rPr>
          <w:rFonts w:asciiTheme="majorBidi" w:eastAsia="Calibri" w:hAnsiTheme="majorBidi" w:cstheme="majorBidi"/>
          <w:b/>
          <w:bCs/>
          <w:sz w:val="20"/>
          <w:szCs w:val="20"/>
        </w:rPr>
        <w:t>)</w:t>
      </w:r>
      <w:r w:rsidR="004F71C1" w:rsidRPr="00C50EBA">
        <w:rPr>
          <w:rFonts w:asciiTheme="majorBidi" w:eastAsia="Calibri" w:hAnsiTheme="majorBidi" w:cstheme="majorBidi"/>
          <w:b/>
          <w:bCs/>
          <w:sz w:val="20"/>
          <w:szCs w:val="20"/>
        </w:rPr>
        <w:t xml:space="preserve">: </w:t>
      </w:r>
      <w:r w:rsidRPr="00C50EBA">
        <w:rPr>
          <w:rFonts w:asciiTheme="majorBidi" w:eastAsia="Calibri" w:hAnsiTheme="majorBidi" w:cstheme="majorBidi"/>
          <w:b/>
          <w:bCs/>
          <w:sz w:val="20"/>
          <w:szCs w:val="20"/>
        </w:rPr>
        <w:t>Comparison between patients and control groups in Age.</w:t>
      </w:r>
      <w:bookmarkEnd w:id="9"/>
    </w:p>
    <w:tbl>
      <w:tblPr>
        <w:tblStyle w:val="TableGrid"/>
        <w:tblW w:w="7434" w:type="dxa"/>
        <w:jc w:val="center"/>
        <w:tblLayout w:type="fixed"/>
        <w:tblLook w:val="0000" w:firstRow="0" w:lastRow="0" w:firstColumn="0" w:lastColumn="0" w:noHBand="0" w:noVBand="0"/>
      </w:tblPr>
      <w:tblGrid>
        <w:gridCol w:w="2097"/>
        <w:gridCol w:w="1980"/>
        <w:gridCol w:w="1980"/>
        <w:gridCol w:w="1377"/>
      </w:tblGrid>
      <w:tr w:rsidR="00CB42CC" w:rsidRPr="00C50EBA" w14:paraId="5A1FAD36" w14:textId="77777777" w:rsidTr="001279E2">
        <w:trPr>
          <w:trHeight w:val="20"/>
          <w:jc w:val="center"/>
        </w:trPr>
        <w:tc>
          <w:tcPr>
            <w:tcW w:w="2097" w:type="dxa"/>
            <w:vMerge w:val="restart"/>
            <w:shd w:val="clear" w:color="auto" w:fill="D9D9D9" w:themeFill="background1" w:themeFillShade="D9"/>
            <w:vAlign w:val="center"/>
          </w:tcPr>
          <w:p w14:paraId="29DEBA3D" w14:textId="77777777" w:rsidR="00CB42CC" w:rsidRPr="00C50EBA" w:rsidRDefault="00CB42CC" w:rsidP="00BA14A2">
            <w:pPr>
              <w:autoSpaceDE w:val="0"/>
              <w:autoSpaceDN w:val="0"/>
              <w:adjustRightInd w:val="0"/>
              <w:spacing w:line="252" w:lineRule="auto"/>
              <w:jc w:val="center"/>
              <w:rPr>
                <w:rFonts w:asciiTheme="majorBidi" w:hAnsiTheme="majorBidi" w:cstheme="majorBidi"/>
                <w:sz w:val="20"/>
                <w:szCs w:val="20"/>
              </w:rPr>
            </w:pPr>
            <w:r w:rsidRPr="00C50EBA">
              <w:rPr>
                <w:rFonts w:asciiTheme="majorBidi" w:hAnsiTheme="majorBidi" w:cstheme="majorBidi"/>
                <w:b/>
                <w:bCs/>
                <w:sz w:val="20"/>
                <w:szCs w:val="20"/>
              </w:rPr>
              <w:t>Age groups</w:t>
            </w:r>
          </w:p>
        </w:tc>
        <w:tc>
          <w:tcPr>
            <w:tcW w:w="3960" w:type="dxa"/>
            <w:gridSpan w:val="2"/>
            <w:shd w:val="clear" w:color="auto" w:fill="D9D9D9" w:themeFill="background1" w:themeFillShade="D9"/>
            <w:vAlign w:val="center"/>
          </w:tcPr>
          <w:p w14:paraId="609B8210" w14:textId="77777777" w:rsidR="00CB42CC" w:rsidRPr="00C50EBA" w:rsidRDefault="00CB42CC" w:rsidP="00BA14A2">
            <w:pPr>
              <w:autoSpaceDE w:val="0"/>
              <w:autoSpaceDN w:val="0"/>
              <w:adjustRightInd w:val="0"/>
              <w:spacing w:line="252" w:lineRule="auto"/>
              <w:jc w:val="center"/>
              <w:rPr>
                <w:rFonts w:asciiTheme="majorBidi" w:hAnsiTheme="majorBidi" w:cstheme="majorBidi"/>
                <w:b/>
                <w:bCs/>
                <w:sz w:val="20"/>
                <w:szCs w:val="20"/>
              </w:rPr>
            </w:pPr>
            <w:r w:rsidRPr="00C50EBA">
              <w:rPr>
                <w:rFonts w:asciiTheme="majorBidi" w:hAnsiTheme="majorBidi" w:cstheme="majorBidi"/>
                <w:b/>
                <w:bCs/>
                <w:sz w:val="20"/>
                <w:szCs w:val="20"/>
              </w:rPr>
              <w:t>Groups</w:t>
            </w:r>
          </w:p>
        </w:tc>
        <w:tc>
          <w:tcPr>
            <w:tcW w:w="1377" w:type="dxa"/>
            <w:vMerge w:val="restart"/>
            <w:shd w:val="clear" w:color="auto" w:fill="D9D9D9" w:themeFill="background1" w:themeFillShade="D9"/>
            <w:vAlign w:val="center"/>
          </w:tcPr>
          <w:p w14:paraId="48D979BA" w14:textId="77777777" w:rsidR="00CB42CC" w:rsidRPr="00C50EBA" w:rsidRDefault="00CB42CC" w:rsidP="001279E2">
            <w:pPr>
              <w:autoSpaceDE w:val="0"/>
              <w:autoSpaceDN w:val="0"/>
              <w:adjustRightInd w:val="0"/>
              <w:spacing w:line="252" w:lineRule="auto"/>
              <w:jc w:val="center"/>
              <w:rPr>
                <w:rFonts w:asciiTheme="majorBidi" w:hAnsiTheme="majorBidi" w:cstheme="majorBidi"/>
                <w:b/>
                <w:bCs/>
                <w:sz w:val="20"/>
                <w:szCs w:val="20"/>
              </w:rPr>
            </w:pPr>
            <w:r w:rsidRPr="00C50EBA">
              <w:rPr>
                <w:rFonts w:asciiTheme="majorBidi" w:hAnsiTheme="majorBidi" w:cstheme="majorBidi"/>
                <w:b/>
                <w:bCs/>
                <w:sz w:val="20"/>
                <w:szCs w:val="20"/>
              </w:rPr>
              <w:t>P- value</w:t>
            </w:r>
          </w:p>
        </w:tc>
      </w:tr>
      <w:tr w:rsidR="00CB42CC" w:rsidRPr="00C50EBA" w14:paraId="3EBF59B6" w14:textId="77777777" w:rsidTr="001279E2">
        <w:trPr>
          <w:trHeight w:val="20"/>
          <w:jc w:val="center"/>
        </w:trPr>
        <w:tc>
          <w:tcPr>
            <w:tcW w:w="2097" w:type="dxa"/>
            <w:vMerge/>
            <w:shd w:val="clear" w:color="auto" w:fill="D9D9D9" w:themeFill="background1" w:themeFillShade="D9"/>
            <w:vAlign w:val="center"/>
          </w:tcPr>
          <w:p w14:paraId="0C44C5E4" w14:textId="77777777" w:rsidR="00CB42CC" w:rsidRPr="00C50EBA" w:rsidRDefault="00CB42CC" w:rsidP="00BA14A2">
            <w:pPr>
              <w:autoSpaceDE w:val="0"/>
              <w:autoSpaceDN w:val="0"/>
              <w:adjustRightInd w:val="0"/>
              <w:spacing w:line="252" w:lineRule="auto"/>
              <w:jc w:val="center"/>
              <w:rPr>
                <w:rFonts w:asciiTheme="majorBidi" w:hAnsiTheme="majorBidi" w:cstheme="majorBidi"/>
                <w:sz w:val="20"/>
                <w:szCs w:val="20"/>
              </w:rPr>
            </w:pPr>
          </w:p>
        </w:tc>
        <w:tc>
          <w:tcPr>
            <w:tcW w:w="1980" w:type="dxa"/>
            <w:shd w:val="clear" w:color="auto" w:fill="D9D9D9" w:themeFill="background1" w:themeFillShade="D9"/>
            <w:vAlign w:val="center"/>
          </w:tcPr>
          <w:p w14:paraId="45686411" w14:textId="77777777" w:rsidR="00CB42CC" w:rsidRPr="00C50EBA" w:rsidRDefault="00CB42CC" w:rsidP="00BA14A2">
            <w:pPr>
              <w:autoSpaceDE w:val="0"/>
              <w:autoSpaceDN w:val="0"/>
              <w:adjustRightInd w:val="0"/>
              <w:spacing w:line="252" w:lineRule="auto"/>
              <w:jc w:val="center"/>
              <w:rPr>
                <w:rFonts w:asciiTheme="majorBidi" w:hAnsiTheme="majorBidi" w:cstheme="majorBidi"/>
                <w:b/>
                <w:bCs/>
                <w:sz w:val="20"/>
                <w:szCs w:val="20"/>
              </w:rPr>
            </w:pPr>
            <w:r w:rsidRPr="00C50EBA">
              <w:rPr>
                <w:rFonts w:asciiTheme="majorBidi" w:hAnsiTheme="majorBidi" w:cstheme="majorBidi"/>
                <w:b/>
                <w:bCs/>
                <w:sz w:val="20"/>
                <w:szCs w:val="20"/>
              </w:rPr>
              <w:t>Patients (100) %</w:t>
            </w:r>
          </w:p>
        </w:tc>
        <w:tc>
          <w:tcPr>
            <w:tcW w:w="1980" w:type="dxa"/>
            <w:shd w:val="clear" w:color="auto" w:fill="D9D9D9" w:themeFill="background1" w:themeFillShade="D9"/>
            <w:vAlign w:val="center"/>
          </w:tcPr>
          <w:p w14:paraId="50D3A868" w14:textId="77777777" w:rsidR="00CB42CC" w:rsidRPr="00C50EBA" w:rsidRDefault="00CB42CC" w:rsidP="00BA14A2">
            <w:pPr>
              <w:autoSpaceDE w:val="0"/>
              <w:autoSpaceDN w:val="0"/>
              <w:adjustRightInd w:val="0"/>
              <w:spacing w:line="252" w:lineRule="auto"/>
              <w:jc w:val="center"/>
              <w:rPr>
                <w:rFonts w:asciiTheme="majorBidi" w:hAnsiTheme="majorBidi" w:cstheme="majorBidi"/>
                <w:b/>
                <w:bCs/>
                <w:sz w:val="20"/>
                <w:szCs w:val="20"/>
              </w:rPr>
            </w:pPr>
            <w:r w:rsidRPr="00C50EBA">
              <w:rPr>
                <w:rFonts w:asciiTheme="majorBidi" w:hAnsiTheme="majorBidi" w:cstheme="majorBidi"/>
                <w:b/>
                <w:bCs/>
                <w:sz w:val="20"/>
                <w:szCs w:val="20"/>
              </w:rPr>
              <w:t>Control (50) %</w:t>
            </w:r>
          </w:p>
        </w:tc>
        <w:tc>
          <w:tcPr>
            <w:tcW w:w="1377" w:type="dxa"/>
            <w:vMerge/>
            <w:shd w:val="clear" w:color="auto" w:fill="D9D9D9" w:themeFill="background1" w:themeFillShade="D9"/>
            <w:vAlign w:val="center"/>
          </w:tcPr>
          <w:p w14:paraId="62F07B84" w14:textId="77777777" w:rsidR="00CB42CC" w:rsidRPr="00C50EBA" w:rsidRDefault="00CB42CC" w:rsidP="001279E2">
            <w:pPr>
              <w:autoSpaceDE w:val="0"/>
              <w:autoSpaceDN w:val="0"/>
              <w:adjustRightInd w:val="0"/>
              <w:spacing w:line="252" w:lineRule="auto"/>
              <w:jc w:val="center"/>
              <w:rPr>
                <w:rFonts w:asciiTheme="majorBidi" w:hAnsiTheme="majorBidi" w:cstheme="majorBidi"/>
                <w:b/>
                <w:bCs/>
                <w:sz w:val="20"/>
                <w:szCs w:val="20"/>
              </w:rPr>
            </w:pPr>
          </w:p>
        </w:tc>
      </w:tr>
      <w:tr w:rsidR="005643D9" w:rsidRPr="00C50EBA" w14:paraId="565CB4C7" w14:textId="77777777" w:rsidTr="001279E2">
        <w:trPr>
          <w:trHeight w:val="20"/>
          <w:jc w:val="center"/>
        </w:trPr>
        <w:tc>
          <w:tcPr>
            <w:tcW w:w="2097" w:type="dxa"/>
            <w:shd w:val="clear" w:color="auto" w:fill="D9D9D9" w:themeFill="background1" w:themeFillShade="D9"/>
            <w:vAlign w:val="center"/>
          </w:tcPr>
          <w:p w14:paraId="4DE15E07" w14:textId="77777777" w:rsidR="005643D9" w:rsidRPr="00C50EBA" w:rsidRDefault="005643D9" w:rsidP="00BA14A2">
            <w:pPr>
              <w:autoSpaceDE w:val="0"/>
              <w:autoSpaceDN w:val="0"/>
              <w:adjustRightInd w:val="0"/>
              <w:spacing w:line="252" w:lineRule="auto"/>
              <w:jc w:val="center"/>
              <w:rPr>
                <w:rFonts w:asciiTheme="majorBidi" w:hAnsiTheme="majorBidi" w:cstheme="majorBidi"/>
                <w:b/>
                <w:bCs/>
                <w:sz w:val="20"/>
                <w:szCs w:val="20"/>
              </w:rPr>
            </w:pPr>
            <w:r w:rsidRPr="00C50EBA">
              <w:rPr>
                <w:rFonts w:asciiTheme="majorBidi" w:hAnsiTheme="majorBidi" w:cstheme="majorBidi"/>
                <w:b/>
                <w:bCs/>
                <w:sz w:val="20"/>
                <w:szCs w:val="20"/>
              </w:rPr>
              <w:t>20-30</w:t>
            </w:r>
          </w:p>
        </w:tc>
        <w:tc>
          <w:tcPr>
            <w:tcW w:w="1980" w:type="dxa"/>
            <w:vAlign w:val="center"/>
          </w:tcPr>
          <w:p w14:paraId="59E11440" w14:textId="0DFD5316" w:rsidR="005643D9" w:rsidRPr="00C50EBA" w:rsidRDefault="005643D9" w:rsidP="003E2765">
            <w:pPr>
              <w:autoSpaceDE w:val="0"/>
              <w:autoSpaceDN w:val="0"/>
              <w:adjustRightInd w:val="0"/>
              <w:spacing w:line="252" w:lineRule="auto"/>
              <w:jc w:val="center"/>
              <w:rPr>
                <w:rFonts w:asciiTheme="majorBidi" w:hAnsiTheme="majorBidi" w:cstheme="majorBidi"/>
                <w:sz w:val="20"/>
                <w:szCs w:val="20"/>
              </w:rPr>
            </w:pPr>
            <w:r w:rsidRPr="00C50EBA">
              <w:rPr>
                <w:rFonts w:asciiTheme="majorBidi" w:hAnsiTheme="majorBidi" w:cstheme="majorBidi"/>
                <w:sz w:val="20"/>
                <w:szCs w:val="20"/>
              </w:rPr>
              <w:t>1</w:t>
            </w:r>
            <w:r>
              <w:rPr>
                <w:rFonts w:asciiTheme="majorBidi" w:hAnsiTheme="majorBidi" w:cstheme="majorBidi"/>
                <w:sz w:val="20"/>
                <w:szCs w:val="20"/>
              </w:rPr>
              <w:t>7</w:t>
            </w:r>
            <w:r w:rsidRPr="00C50EBA">
              <w:rPr>
                <w:rFonts w:asciiTheme="majorBidi" w:hAnsiTheme="majorBidi" w:cstheme="majorBidi"/>
                <w:sz w:val="20"/>
                <w:szCs w:val="20"/>
              </w:rPr>
              <w:t xml:space="preserve"> (1</w:t>
            </w:r>
            <w:r>
              <w:rPr>
                <w:rFonts w:asciiTheme="majorBidi" w:hAnsiTheme="majorBidi" w:cstheme="majorBidi"/>
                <w:sz w:val="20"/>
                <w:szCs w:val="20"/>
              </w:rPr>
              <w:t>7</w:t>
            </w:r>
            <w:r w:rsidRPr="00C50EBA">
              <w:rPr>
                <w:rFonts w:asciiTheme="majorBidi" w:hAnsiTheme="majorBidi" w:cstheme="majorBidi"/>
                <w:sz w:val="20"/>
                <w:szCs w:val="20"/>
              </w:rPr>
              <w:t>%)</w:t>
            </w:r>
          </w:p>
        </w:tc>
        <w:tc>
          <w:tcPr>
            <w:tcW w:w="1980" w:type="dxa"/>
            <w:vAlign w:val="center"/>
          </w:tcPr>
          <w:p w14:paraId="2AD2AFB2" w14:textId="77777777" w:rsidR="005643D9" w:rsidRPr="00C50EBA" w:rsidRDefault="005643D9" w:rsidP="00BA14A2">
            <w:pPr>
              <w:autoSpaceDE w:val="0"/>
              <w:autoSpaceDN w:val="0"/>
              <w:adjustRightInd w:val="0"/>
              <w:spacing w:line="252" w:lineRule="auto"/>
              <w:jc w:val="center"/>
              <w:rPr>
                <w:rFonts w:asciiTheme="majorBidi" w:hAnsiTheme="majorBidi" w:cstheme="majorBidi"/>
                <w:sz w:val="20"/>
                <w:szCs w:val="20"/>
              </w:rPr>
            </w:pPr>
            <w:r w:rsidRPr="00C50EBA">
              <w:rPr>
                <w:rFonts w:asciiTheme="majorBidi" w:hAnsiTheme="majorBidi" w:cstheme="majorBidi"/>
                <w:sz w:val="20"/>
                <w:szCs w:val="20"/>
              </w:rPr>
              <w:t>14 (28%)</w:t>
            </w:r>
          </w:p>
        </w:tc>
        <w:tc>
          <w:tcPr>
            <w:tcW w:w="1377" w:type="dxa"/>
            <w:vMerge w:val="restart"/>
            <w:vAlign w:val="center"/>
          </w:tcPr>
          <w:p w14:paraId="32432E87" w14:textId="1EE1CB76" w:rsidR="005643D9" w:rsidRPr="00C50EBA" w:rsidRDefault="005643D9" w:rsidP="001279E2">
            <w:pPr>
              <w:autoSpaceDE w:val="0"/>
              <w:autoSpaceDN w:val="0"/>
              <w:adjustRightInd w:val="0"/>
              <w:spacing w:line="252" w:lineRule="auto"/>
              <w:rPr>
                <w:rFonts w:asciiTheme="majorBidi" w:hAnsiTheme="majorBidi" w:cstheme="majorBidi"/>
                <w:sz w:val="20"/>
                <w:szCs w:val="20"/>
              </w:rPr>
            </w:pPr>
            <w:r>
              <w:rPr>
                <w:rFonts w:asciiTheme="majorBidi" w:hAnsiTheme="majorBidi" w:cstheme="majorBidi"/>
                <w:sz w:val="20"/>
                <w:szCs w:val="20"/>
              </w:rPr>
              <w:t xml:space="preserve">    </w:t>
            </w:r>
            <w:r w:rsidRPr="00C50EBA">
              <w:rPr>
                <w:rFonts w:asciiTheme="majorBidi" w:hAnsiTheme="majorBidi" w:cstheme="majorBidi"/>
                <w:sz w:val="20"/>
                <w:szCs w:val="20"/>
              </w:rPr>
              <w:t>0.07 NS</w:t>
            </w:r>
          </w:p>
        </w:tc>
      </w:tr>
      <w:tr w:rsidR="005643D9" w:rsidRPr="00C50EBA" w14:paraId="5006A6D5" w14:textId="77777777" w:rsidTr="00704FEE">
        <w:trPr>
          <w:trHeight w:val="20"/>
          <w:jc w:val="center"/>
        </w:trPr>
        <w:tc>
          <w:tcPr>
            <w:tcW w:w="2097" w:type="dxa"/>
            <w:shd w:val="clear" w:color="auto" w:fill="D9D9D9" w:themeFill="background1" w:themeFillShade="D9"/>
            <w:vAlign w:val="center"/>
          </w:tcPr>
          <w:p w14:paraId="3D9017ED" w14:textId="77777777" w:rsidR="005643D9" w:rsidRPr="00C50EBA" w:rsidRDefault="005643D9" w:rsidP="00BA14A2">
            <w:pPr>
              <w:autoSpaceDE w:val="0"/>
              <w:autoSpaceDN w:val="0"/>
              <w:adjustRightInd w:val="0"/>
              <w:spacing w:line="252" w:lineRule="auto"/>
              <w:jc w:val="center"/>
              <w:rPr>
                <w:rFonts w:asciiTheme="majorBidi" w:hAnsiTheme="majorBidi" w:cstheme="majorBidi"/>
                <w:b/>
                <w:bCs/>
                <w:sz w:val="20"/>
                <w:szCs w:val="20"/>
              </w:rPr>
            </w:pPr>
            <w:r w:rsidRPr="00C50EBA">
              <w:rPr>
                <w:rFonts w:asciiTheme="majorBidi" w:hAnsiTheme="majorBidi" w:cstheme="majorBidi"/>
                <w:b/>
                <w:bCs/>
                <w:sz w:val="20"/>
                <w:szCs w:val="20"/>
              </w:rPr>
              <w:t>31-41</w:t>
            </w:r>
          </w:p>
        </w:tc>
        <w:tc>
          <w:tcPr>
            <w:tcW w:w="1980" w:type="dxa"/>
            <w:vAlign w:val="center"/>
          </w:tcPr>
          <w:p w14:paraId="5BF2AC92" w14:textId="404BABE0" w:rsidR="005643D9" w:rsidRPr="00C50EBA" w:rsidRDefault="005643D9" w:rsidP="003E2765">
            <w:pPr>
              <w:autoSpaceDE w:val="0"/>
              <w:autoSpaceDN w:val="0"/>
              <w:adjustRightInd w:val="0"/>
              <w:spacing w:line="252" w:lineRule="auto"/>
              <w:jc w:val="center"/>
              <w:rPr>
                <w:rFonts w:asciiTheme="majorBidi" w:hAnsiTheme="majorBidi" w:cstheme="majorBidi"/>
                <w:sz w:val="20"/>
                <w:szCs w:val="20"/>
              </w:rPr>
            </w:pPr>
            <w:r w:rsidRPr="00C50EBA">
              <w:rPr>
                <w:rFonts w:asciiTheme="majorBidi" w:hAnsiTheme="majorBidi" w:cstheme="majorBidi"/>
                <w:sz w:val="20"/>
                <w:szCs w:val="20"/>
              </w:rPr>
              <w:t>3</w:t>
            </w:r>
            <w:r>
              <w:rPr>
                <w:rFonts w:asciiTheme="majorBidi" w:hAnsiTheme="majorBidi" w:cstheme="majorBidi"/>
                <w:sz w:val="20"/>
                <w:szCs w:val="20"/>
              </w:rPr>
              <w:t>7</w:t>
            </w:r>
            <w:r w:rsidRPr="00C50EBA">
              <w:rPr>
                <w:rFonts w:asciiTheme="majorBidi" w:hAnsiTheme="majorBidi" w:cstheme="majorBidi"/>
                <w:sz w:val="20"/>
                <w:szCs w:val="20"/>
              </w:rPr>
              <w:t xml:space="preserve"> (3</w:t>
            </w:r>
            <w:r>
              <w:rPr>
                <w:rFonts w:asciiTheme="majorBidi" w:hAnsiTheme="majorBidi" w:cstheme="majorBidi"/>
                <w:sz w:val="20"/>
                <w:szCs w:val="20"/>
              </w:rPr>
              <w:t>7</w:t>
            </w:r>
            <w:r w:rsidRPr="00C50EBA">
              <w:rPr>
                <w:rFonts w:asciiTheme="majorBidi" w:hAnsiTheme="majorBidi" w:cstheme="majorBidi"/>
                <w:sz w:val="20"/>
                <w:szCs w:val="20"/>
              </w:rPr>
              <w:t>%)</w:t>
            </w:r>
          </w:p>
        </w:tc>
        <w:tc>
          <w:tcPr>
            <w:tcW w:w="1980" w:type="dxa"/>
            <w:vAlign w:val="center"/>
          </w:tcPr>
          <w:p w14:paraId="07D35634" w14:textId="77777777" w:rsidR="005643D9" w:rsidRPr="00C50EBA" w:rsidRDefault="005643D9" w:rsidP="00BA14A2">
            <w:pPr>
              <w:autoSpaceDE w:val="0"/>
              <w:autoSpaceDN w:val="0"/>
              <w:adjustRightInd w:val="0"/>
              <w:spacing w:line="252" w:lineRule="auto"/>
              <w:jc w:val="center"/>
              <w:rPr>
                <w:rFonts w:asciiTheme="majorBidi" w:hAnsiTheme="majorBidi" w:cstheme="majorBidi"/>
                <w:sz w:val="20"/>
                <w:szCs w:val="20"/>
              </w:rPr>
            </w:pPr>
            <w:r w:rsidRPr="00C50EBA">
              <w:rPr>
                <w:rFonts w:asciiTheme="majorBidi" w:hAnsiTheme="majorBidi" w:cstheme="majorBidi"/>
                <w:sz w:val="20"/>
                <w:szCs w:val="20"/>
              </w:rPr>
              <w:t>15 (30%)</w:t>
            </w:r>
          </w:p>
        </w:tc>
        <w:tc>
          <w:tcPr>
            <w:tcW w:w="1377" w:type="dxa"/>
            <w:vMerge/>
            <w:vAlign w:val="center"/>
          </w:tcPr>
          <w:p w14:paraId="519EB15A" w14:textId="77777777" w:rsidR="005643D9" w:rsidRPr="00C50EBA" w:rsidRDefault="005643D9" w:rsidP="00BA14A2">
            <w:pPr>
              <w:autoSpaceDE w:val="0"/>
              <w:autoSpaceDN w:val="0"/>
              <w:adjustRightInd w:val="0"/>
              <w:spacing w:line="252" w:lineRule="auto"/>
              <w:jc w:val="center"/>
              <w:rPr>
                <w:rFonts w:asciiTheme="majorBidi" w:hAnsiTheme="majorBidi" w:cstheme="majorBidi"/>
                <w:sz w:val="20"/>
                <w:szCs w:val="20"/>
              </w:rPr>
            </w:pPr>
          </w:p>
        </w:tc>
      </w:tr>
      <w:tr w:rsidR="005643D9" w:rsidRPr="00C50EBA" w14:paraId="354B76B9" w14:textId="77777777" w:rsidTr="00704FEE">
        <w:trPr>
          <w:trHeight w:val="20"/>
          <w:jc w:val="center"/>
        </w:trPr>
        <w:tc>
          <w:tcPr>
            <w:tcW w:w="2097" w:type="dxa"/>
            <w:shd w:val="clear" w:color="auto" w:fill="D9D9D9" w:themeFill="background1" w:themeFillShade="D9"/>
            <w:vAlign w:val="center"/>
          </w:tcPr>
          <w:p w14:paraId="2A3B0AC1" w14:textId="77777777" w:rsidR="005643D9" w:rsidRPr="00C50EBA" w:rsidRDefault="005643D9" w:rsidP="00BA14A2">
            <w:pPr>
              <w:autoSpaceDE w:val="0"/>
              <w:autoSpaceDN w:val="0"/>
              <w:adjustRightInd w:val="0"/>
              <w:spacing w:line="252" w:lineRule="auto"/>
              <w:jc w:val="center"/>
              <w:rPr>
                <w:rFonts w:asciiTheme="majorBidi" w:hAnsiTheme="majorBidi" w:cstheme="majorBidi"/>
                <w:b/>
                <w:bCs/>
                <w:sz w:val="20"/>
                <w:szCs w:val="20"/>
              </w:rPr>
            </w:pPr>
            <w:r w:rsidRPr="00C50EBA">
              <w:rPr>
                <w:rFonts w:asciiTheme="majorBidi" w:hAnsiTheme="majorBidi" w:cstheme="majorBidi"/>
                <w:b/>
                <w:bCs/>
                <w:sz w:val="20"/>
                <w:szCs w:val="20"/>
              </w:rPr>
              <w:t>42-52</w:t>
            </w:r>
          </w:p>
        </w:tc>
        <w:tc>
          <w:tcPr>
            <w:tcW w:w="1980" w:type="dxa"/>
            <w:vAlign w:val="center"/>
          </w:tcPr>
          <w:p w14:paraId="36184BA1" w14:textId="4DAA0413" w:rsidR="005643D9" w:rsidRPr="00C50EBA" w:rsidRDefault="005643D9" w:rsidP="003E2765">
            <w:pPr>
              <w:autoSpaceDE w:val="0"/>
              <w:autoSpaceDN w:val="0"/>
              <w:adjustRightInd w:val="0"/>
              <w:spacing w:line="252" w:lineRule="auto"/>
              <w:jc w:val="center"/>
              <w:rPr>
                <w:rFonts w:asciiTheme="majorBidi" w:hAnsiTheme="majorBidi" w:cstheme="majorBidi"/>
                <w:sz w:val="20"/>
                <w:szCs w:val="20"/>
              </w:rPr>
            </w:pPr>
            <w:r w:rsidRPr="00C50EBA">
              <w:rPr>
                <w:rFonts w:asciiTheme="majorBidi" w:hAnsiTheme="majorBidi" w:cstheme="majorBidi"/>
                <w:sz w:val="20"/>
                <w:szCs w:val="20"/>
              </w:rPr>
              <w:t>1</w:t>
            </w:r>
            <w:r>
              <w:rPr>
                <w:rFonts w:asciiTheme="majorBidi" w:hAnsiTheme="majorBidi" w:cstheme="majorBidi"/>
                <w:sz w:val="20"/>
                <w:szCs w:val="20"/>
              </w:rPr>
              <w:t>7</w:t>
            </w:r>
            <w:r w:rsidRPr="00C50EBA">
              <w:rPr>
                <w:rFonts w:asciiTheme="majorBidi" w:hAnsiTheme="majorBidi" w:cstheme="majorBidi"/>
                <w:sz w:val="20"/>
                <w:szCs w:val="20"/>
              </w:rPr>
              <w:t xml:space="preserve"> (1</w:t>
            </w:r>
            <w:r>
              <w:rPr>
                <w:rFonts w:asciiTheme="majorBidi" w:hAnsiTheme="majorBidi" w:cstheme="majorBidi"/>
                <w:sz w:val="20"/>
                <w:szCs w:val="20"/>
              </w:rPr>
              <w:t>7</w:t>
            </w:r>
            <w:r w:rsidRPr="00C50EBA">
              <w:rPr>
                <w:rFonts w:asciiTheme="majorBidi" w:hAnsiTheme="majorBidi" w:cstheme="majorBidi"/>
                <w:sz w:val="20"/>
                <w:szCs w:val="20"/>
              </w:rPr>
              <w:t>%)</w:t>
            </w:r>
          </w:p>
        </w:tc>
        <w:tc>
          <w:tcPr>
            <w:tcW w:w="1980" w:type="dxa"/>
            <w:vAlign w:val="center"/>
          </w:tcPr>
          <w:p w14:paraId="5D1A3E32" w14:textId="77777777" w:rsidR="005643D9" w:rsidRPr="00C50EBA" w:rsidRDefault="005643D9" w:rsidP="00BA14A2">
            <w:pPr>
              <w:autoSpaceDE w:val="0"/>
              <w:autoSpaceDN w:val="0"/>
              <w:adjustRightInd w:val="0"/>
              <w:spacing w:line="252" w:lineRule="auto"/>
              <w:jc w:val="center"/>
              <w:rPr>
                <w:rFonts w:asciiTheme="majorBidi" w:hAnsiTheme="majorBidi" w:cstheme="majorBidi"/>
                <w:sz w:val="20"/>
                <w:szCs w:val="20"/>
              </w:rPr>
            </w:pPr>
            <w:r w:rsidRPr="00C50EBA">
              <w:rPr>
                <w:rFonts w:asciiTheme="majorBidi" w:hAnsiTheme="majorBidi" w:cstheme="majorBidi"/>
                <w:sz w:val="20"/>
                <w:szCs w:val="20"/>
              </w:rPr>
              <w:t>13 (26%)</w:t>
            </w:r>
          </w:p>
        </w:tc>
        <w:tc>
          <w:tcPr>
            <w:tcW w:w="1377" w:type="dxa"/>
            <w:vMerge/>
            <w:vAlign w:val="center"/>
          </w:tcPr>
          <w:p w14:paraId="52D0F4C8" w14:textId="77777777" w:rsidR="005643D9" w:rsidRPr="00C50EBA" w:rsidRDefault="005643D9" w:rsidP="00BA14A2">
            <w:pPr>
              <w:autoSpaceDE w:val="0"/>
              <w:autoSpaceDN w:val="0"/>
              <w:adjustRightInd w:val="0"/>
              <w:spacing w:line="252" w:lineRule="auto"/>
              <w:jc w:val="center"/>
              <w:rPr>
                <w:rFonts w:asciiTheme="majorBidi" w:hAnsiTheme="majorBidi" w:cstheme="majorBidi"/>
                <w:sz w:val="20"/>
                <w:szCs w:val="20"/>
              </w:rPr>
            </w:pPr>
          </w:p>
        </w:tc>
      </w:tr>
      <w:tr w:rsidR="005643D9" w:rsidRPr="00C50EBA" w14:paraId="41C2B573" w14:textId="77777777" w:rsidTr="00704FEE">
        <w:trPr>
          <w:trHeight w:val="20"/>
          <w:jc w:val="center"/>
        </w:trPr>
        <w:tc>
          <w:tcPr>
            <w:tcW w:w="2097" w:type="dxa"/>
            <w:shd w:val="clear" w:color="auto" w:fill="D9D9D9" w:themeFill="background1" w:themeFillShade="D9"/>
            <w:vAlign w:val="center"/>
          </w:tcPr>
          <w:p w14:paraId="2B16576C" w14:textId="635C8A2D" w:rsidR="005643D9" w:rsidRPr="00C50EBA" w:rsidRDefault="005643D9" w:rsidP="00BA14A2">
            <w:pPr>
              <w:autoSpaceDE w:val="0"/>
              <w:autoSpaceDN w:val="0"/>
              <w:adjustRightInd w:val="0"/>
              <w:spacing w:line="252" w:lineRule="auto"/>
              <w:jc w:val="center"/>
              <w:rPr>
                <w:rFonts w:asciiTheme="majorBidi" w:hAnsiTheme="majorBidi" w:cstheme="majorBidi"/>
                <w:b/>
                <w:bCs/>
                <w:sz w:val="20"/>
                <w:szCs w:val="20"/>
              </w:rPr>
            </w:pPr>
            <w:r w:rsidRPr="00C50EBA">
              <w:rPr>
                <w:rFonts w:asciiTheme="majorBidi" w:hAnsiTheme="majorBidi" w:cstheme="majorBidi"/>
                <w:b/>
                <w:bCs/>
                <w:sz w:val="20"/>
                <w:szCs w:val="20"/>
              </w:rPr>
              <w:t>54-6</w:t>
            </w:r>
            <w:r w:rsidR="008409F6">
              <w:rPr>
                <w:rFonts w:asciiTheme="majorBidi" w:hAnsiTheme="majorBidi" w:cstheme="majorBidi" w:hint="cs"/>
                <w:b/>
                <w:bCs/>
                <w:sz w:val="20"/>
                <w:szCs w:val="20"/>
                <w:rtl/>
              </w:rPr>
              <w:t>0</w:t>
            </w:r>
          </w:p>
        </w:tc>
        <w:tc>
          <w:tcPr>
            <w:tcW w:w="1980" w:type="dxa"/>
            <w:vAlign w:val="center"/>
          </w:tcPr>
          <w:p w14:paraId="13249744" w14:textId="3E0DCBF7" w:rsidR="005643D9" w:rsidRPr="00C50EBA" w:rsidRDefault="005643D9" w:rsidP="003E2765">
            <w:pPr>
              <w:autoSpaceDE w:val="0"/>
              <w:autoSpaceDN w:val="0"/>
              <w:adjustRightInd w:val="0"/>
              <w:spacing w:line="252" w:lineRule="auto"/>
              <w:jc w:val="center"/>
              <w:rPr>
                <w:rFonts w:asciiTheme="majorBidi" w:hAnsiTheme="majorBidi" w:cstheme="majorBidi"/>
                <w:sz w:val="20"/>
                <w:szCs w:val="20"/>
              </w:rPr>
            </w:pPr>
            <w:r w:rsidRPr="00C50EBA">
              <w:rPr>
                <w:rFonts w:asciiTheme="majorBidi" w:hAnsiTheme="majorBidi" w:cstheme="majorBidi"/>
                <w:sz w:val="20"/>
                <w:szCs w:val="20"/>
              </w:rPr>
              <w:t>2</w:t>
            </w:r>
            <w:r>
              <w:rPr>
                <w:rFonts w:asciiTheme="majorBidi" w:hAnsiTheme="majorBidi" w:cstheme="majorBidi"/>
                <w:sz w:val="20"/>
                <w:szCs w:val="20"/>
              </w:rPr>
              <w:t>9</w:t>
            </w:r>
            <w:r w:rsidRPr="00C50EBA">
              <w:rPr>
                <w:rFonts w:asciiTheme="majorBidi" w:hAnsiTheme="majorBidi" w:cstheme="majorBidi"/>
                <w:sz w:val="20"/>
                <w:szCs w:val="20"/>
              </w:rPr>
              <w:t xml:space="preserve"> (2</w:t>
            </w:r>
            <w:r>
              <w:rPr>
                <w:rFonts w:asciiTheme="majorBidi" w:hAnsiTheme="majorBidi" w:cstheme="majorBidi"/>
                <w:sz w:val="20"/>
                <w:szCs w:val="20"/>
              </w:rPr>
              <w:t>9</w:t>
            </w:r>
            <w:r w:rsidRPr="00C50EBA">
              <w:rPr>
                <w:rFonts w:asciiTheme="majorBidi" w:hAnsiTheme="majorBidi" w:cstheme="majorBidi"/>
                <w:sz w:val="20"/>
                <w:szCs w:val="20"/>
              </w:rPr>
              <w:t>%)</w:t>
            </w:r>
          </w:p>
        </w:tc>
        <w:tc>
          <w:tcPr>
            <w:tcW w:w="1980" w:type="dxa"/>
            <w:vAlign w:val="center"/>
          </w:tcPr>
          <w:p w14:paraId="7DCBB4AF" w14:textId="77777777" w:rsidR="005643D9" w:rsidRPr="00C50EBA" w:rsidRDefault="005643D9" w:rsidP="00BA14A2">
            <w:pPr>
              <w:autoSpaceDE w:val="0"/>
              <w:autoSpaceDN w:val="0"/>
              <w:adjustRightInd w:val="0"/>
              <w:spacing w:line="252" w:lineRule="auto"/>
              <w:jc w:val="center"/>
              <w:rPr>
                <w:rFonts w:asciiTheme="majorBidi" w:hAnsiTheme="majorBidi" w:cstheme="majorBidi"/>
                <w:sz w:val="20"/>
                <w:szCs w:val="20"/>
              </w:rPr>
            </w:pPr>
            <w:r w:rsidRPr="00C50EBA">
              <w:rPr>
                <w:rFonts w:asciiTheme="majorBidi" w:hAnsiTheme="majorBidi" w:cstheme="majorBidi"/>
                <w:sz w:val="20"/>
                <w:szCs w:val="20"/>
              </w:rPr>
              <w:t>8 (16%)</w:t>
            </w:r>
          </w:p>
        </w:tc>
        <w:tc>
          <w:tcPr>
            <w:tcW w:w="1377" w:type="dxa"/>
            <w:vMerge/>
            <w:vAlign w:val="center"/>
          </w:tcPr>
          <w:p w14:paraId="0ADFAB7E" w14:textId="77777777" w:rsidR="005643D9" w:rsidRPr="00C50EBA" w:rsidRDefault="005643D9" w:rsidP="00BA14A2">
            <w:pPr>
              <w:autoSpaceDE w:val="0"/>
              <w:autoSpaceDN w:val="0"/>
              <w:adjustRightInd w:val="0"/>
              <w:spacing w:line="252" w:lineRule="auto"/>
              <w:jc w:val="center"/>
              <w:rPr>
                <w:rFonts w:asciiTheme="majorBidi" w:hAnsiTheme="majorBidi" w:cstheme="majorBidi"/>
                <w:sz w:val="20"/>
                <w:szCs w:val="20"/>
              </w:rPr>
            </w:pPr>
          </w:p>
        </w:tc>
      </w:tr>
      <w:tr w:rsidR="005643D9" w:rsidRPr="00C50EBA" w14:paraId="55EE40A4" w14:textId="77777777" w:rsidTr="00704FEE">
        <w:trPr>
          <w:trHeight w:val="20"/>
          <w:jc w:val="center"/>
        </w:trPr>
        <w:tc>
          <w:tcPr>
            <w:tcW w:w="2097" w:type="dxa"/>
            <w:shd w:val="clear" w:color="auto" w:fill="D9D9D9" w:themeFill="background1" w:themeFillShade="D9"/>
            <w:vAlign w:val="center"/>
          </w:tcPr>
          <w:p w14:paraId="20D6B06F" w14:textId="77777777" w:rsidR="005643D9" w:rsidRPr="00C50EBA" w:rsidRDefault="005643D9" w:rsidP="00BA14A2">
            <w:pPr>
              <w:autoSpaceDE w:val="0"/>
              <w:autoSpaceDN w:val="0"/>
              <w:adjustRightInd w:val="0"/>
              <w:spacing w:line="252" w:lineRule="auto"/>
              <w:jc w:val="center"/>
              <w:rPr>
                <w:rFonts w:asciiTheme="majorBidi" w:hAnsiTheme="majorBidi" w:cstheme="majorBidi"/>
                <w:b/>
                <w:bCs/>
                <w:sz w:val="20"/>
                <w:szCs w:val="20"/>
              </w:rPr>
            </w:pPr>
            <w:r w:rsidRPr="00C50EBA">
              <w:rPr>
                <w:rFonts w:asciiTheme="majorBidi" w:hAnsiTheme="majorBidi" w:cstheme="majorBidi"/>
                <w:b/>
                <w:bCs/>
                <w:sz w:val="20"/>
                <w:szCs w:val="20"/>
              </w:rPr>
              <w:t>Mean ± SD</w:t>
            </w:r>
          </w:p>
        </w:tc>
        <w:tc>
          <w:tcPr>
            <w:tcW w:w="1980" w:type="dxa"/>
            <w:vAlign w:val="center"/>
          </w:tcPr>
          <w:p w14:paraId="673B51A3" w14:textId="77777777" w:rsidR="005643D9" w:rsidRPr="00C50EBA" w:rsidRDefault="005643D9" w:rsidP="00BA14A2">
            <w:pPr>
              <w:autoSpaceDE w:val="0"/>
              <w:autoSpaceDN w:val="0"/>
              <w:adjustRightInd w:val="0"/>
              <w:spacing w:line="252" w:lineRule="auto"/>
              <w:jc w:val="center"/>
              <w:rPr>
                <w:rFonts w:asciiTheme="majorBidi" w:hAnsiTheme="majorBidi" w:cstheme="majorBidi"/>
                <w:sz w:val="20"/>
                <w:szCs w:val="20"/>
              </w:rPr>
            </w:pPr>
            <w:r w:rsidRPr="00C50EBA">
              <w:rPr>
                <w:rFonts w:asciiTheme="majorBidi" w:hAnsiTheme="majorBidi" w:cstheme="majorBidi"/>
                <w:sz w:val="20"/>
                <w:szCs w:val="20"/>
              </w:rPr>
              <w:t>43.54 ± 13.69</w:t>
            </w:r>
          </w:p>
        </w:tc>
        <w:tc>
          <w:tcPr>
            <w:tcW w:w="1980" w:type="dxa"/>
            <w:vAlign w:val="center"/>
          </w:tcPr>
          <w:p w14:paraId="69B7C6B5" w14:textId="77777777" w:rsidR="005643D9" w:rsidRPr="00C50EBA" w:rsidRDefault="005643D9" w:rsidP="00BA14A2">
            <w:pPr>
              <w:autoSpaceDE w:val="0"/>
              <w:autoSpaceDN w:val="0"/>
              <w:adjustRightInd w:val="0"/>
              <w:spacing w:line="252" w:lineRule="auto"/>
              <w:jc w:val="center"/>
              <w:rPr>
                <w:rFonts w:asciiTheme="majorBidi" w:hAnsiTheme="majorBidi" w:cstheme="majorBidi"/>
                <w:sz w:val="20"/>
                <w:szCs w:val="20"/>
              </w:rPr>
            </w:pPr>
            <w:r w:rsidRPr="00C50EBA">
              <w:rPr>
                <w:rFonts w:asciiTheme="majorBidi" w:hAnsiTheme="majorBidi" w:cstheme="majorBidi"/>
                <w:sz w:val="20"/>
                <w:szCs w:val="20"/>
              </w:rPr>
              <w:t>39.02 ± 10.89</w:t>
            </w:r>
          </w:p>
        </w:tc>
        <w:tc>
          <w:tcPr>
            <w:tcW w:w="1377" w:type="dxa"/>
            <w:vMerge/>
            <w:vAlign w:val="center"/>
          </w:tcPr>
          <w:p w14:paraId="4A4F0E8E" w14:textId="77777777" w:rsidR="005643D9" w:rsidRPr="00C50EBA" w:rsidRDefault="005643D9" w:rsidP="00BA14A2">
            <w:pPr>
              <w:autoSpaceDE w:val="0"/>
              <w:autoSpaceDN w:val="0"/>
              <w:adjustRightInd w:val="0"/>
              <w:spacing w:line="252" w:lineRule="auto"/>
              <w:jc w:val="center"/>
              <w:rPr>
                <w:rFonts w:asciiTheme="majorBidi" w:hAnsiTheme="majorBidi" w:cstheme="majorBidi"/>
                <w:sz w:val="20"/>
                <w:szCs w:val="20"/>
              </w:rPr>
            </w:pPr>
          </w:p>
        </w:tc>
      </w:tr>
    </w:tbl>
    <w:p w14:paraId="00D20580" w14:textId="31F399D6" w:rsidR="008B3AF9" w:rsidRPr="001E3AFD" w:rsidRDefault="008B3AF9" w:rsidP="001279E2">
      <w:pPr>
        <w:spacing w:after="0" w:line="252" w:lineRule="auto"/>
        <w:rPr>
          <w:rFonts w:asciiTheme="majorBidi" w:hAnsiTheme="majorBidi" w:cstheme="majorBidi"/>
          <w:color w:val="000000" w:themeColor="text1"/>
          <w:sz w:val="20"/>
          <w:szCs w:val="20"/>
        </w:rPr>
      </w:pPr>
      <w:r w:rsidRPr="001E3AFD">
        <w:rPr>
          <w:rFonts w:asciiTheme="majorBidi" w:hAnsiTheme="majorBidi" w:cstheme="majorBidi"/>
          <w:color w:val="000000" w:themeColor="text1"/>
          <w:sz w:val="20"/>
          <w:szCs w:val="20"/>
        </w:rPr>
        <w:t>*NS: Non-significant, SD: Standard deviation</w:t>
      </w:r>
    </w:p>
    <w:p w14:paraId="702EC1DD" w14:textId="77777777" w:rsidR="008B3AF9" w:rsidRPr="00FC7157" w:rsidRDefault="008B3AF9" w:rsidP="008B3AF9">
      <w:pPr>
        <w:spacing w:after="0" w:line="252" w:lineRule="auto"/>
        <w:rPr>
          <w:rFonts w:asciiTheme="majorBidi" w:hAnsiTheme="majorBidi" w:cstheme="majorBidi"/>
          <w:color w:val="000000" w:themeColor="text1"/>
          <w:sz w:val="24"/>
          <w:szCs w:val="24"/>
        </w:rPr>
      </w:pPr>
    </w:p>
    <w:p w14:paraId="4CD02E60" w14:textId="77777777" w:rsidR="008B3AF9" w:rsidRDefault="008B3AF9" w:rsidP="008B3AF9">
      <w:pPr>
        <w:spacing w:after="0" w:line="252" w:lineRule="auto"/>
        <w:rPr>
          <w:rFonts w:asciiTheme="majorBidi" w:hAnsiTheme="majorBidi" w:cstheme="majorBidi"/>
          <w:sz w:val="24"/>
          <w:szCs w:val="24"/>
        </w:rPr>
        <w:sectPr w:rsidR="008B3AF9" w:rsidSect="009F0C04">
          <w:type w:val="continuous"/>
          <w:pgSz w:w="11906" w:h="16838" w:code="9"/>
          <w:pgMar w:top="1701" w:right="1701" w:bottom="1701" w:left="1701" w:header="720" w:footer="720" w:gutter="0"/>
          <w:cols w:space="720"/>
          <w:titlePg/>
          <w:docGrid w:linePitch="360"/>
        </w:sectPr>
      </w:pPr>
    </w:p>
    <w:p w14:paraId="40D6688F" w14:textId="6F621057" w:rsidR="00524CDD" w:rsidRDefault="007425E8" w:rsidP="00BA14A2">
      <w:pPr>
        <w:spacing w:after="0" w:line="252" w:lineRule="auto"/>
        <w:ind w:firstLine="426"/>
        <w:jc w:val="both"/>
        <w:rPr>
          <w:rFonts w:asciiTheme="majorBidi" w:hAnsiTheme="majorBidi" w:cstheme="majorBidi"/>
          <w:sz w:val="24"/>
          <w:szCs w:val="24"/>
        </w:rPr>
      </w:pPr>
      <w:r w:rsidRPr="00C433EE">
        <w:rPr>
          <w:rFonts w:asciiTheme="majorBidi" w:hAnsiTheme="majorBidi" w:cstheme="majorBidi"/>
          <w:sz w:val="24"/>
          <w:szCs w:val="24"/>
        </w:rPr>
        <w:t>Table</w:t>
      </w:r>
      <w:r w:rsidR="004C7BD9" w:rsidRPr="00C433EE">
        <w:rPr>
          <w:rFonts w:asciiTheme="majorBidi" w:hAnsiTheme="majorBidi" w:cstheme="majorBidi"/>
          <w:sz w:val="24"/>
          <w:szCs w:val="24"/>
        </w:rPr>
        <w:t xml:space="preserve"> </w:t>
      </w:r>
      <w:r w:rsidR="00C433EE" w:rsidRPr="00C433EE">
        <w:rPr>
          <w:rFonts w:asciiTheme="majorBidi" w:hAnsiTheme="majorBidi" w:cstheme="majorBidi"/>
          <w:sz w:val="24"/>
          <w:szCs w:val="24"/>
        </w:rPr>
        <w:t>(</w:t>
      </w:r>
      <w:r w:rsidRPr="00C433EE">
        <w:rPr>
          <w:rFonts w:asciiTheme="majorBidi" w:hAnsiTheme="majorBidi" w:cstheme="majorBidi"/>
          <w:sz w:val="24"/>
          <w:szCs w:val="24"/>
        </w:rPr>
        <w:t>2</w:t>
      </w:r>
      <w:r w:rsidR="00C433EE" w:rsidRPr="00C433EE">
        <w:rPr>
          <w:rFonts w:asciiTheme="majorBidi" w:hAnsiTheme="majorBidi" w:cstheme="majorBidi"/>
          <w:sz w:val="24"/>
          <w:szCs w:val="24"/>
        </w:rPr>
        <w:t>)</w:t>
      </w:r>
      <w:r w:rsidRPr="00C433EE">
        <w:rPr>
          <w:rFonts w:asciiTheme="majorBidi" w:hAnsiTheme="majorBidi" w:cstheme="majorBidi"/>
          <w:sz w:val="24"/>
          <w:szCs w:val="24"/>
        </w:rPr>
        <w:t xml:space="preserve"> presents data on the distribution of Body Mass Index (BMI) categories among patients and </w:t>
      </w:r>
      <w:r w:rsidR="004C7BD9" w:rsidRPr="00C433EE">
        <w:rPr>
          <w:rFonts w:asciiTheme="majorBidi" w:hAnsiTheme="majorBidi" w:cstheme="majorBidi"/>
          <w:sz w:val="24"/>
          <w:szCs w:val="24"/>
        </w:rPr>
        <w:t xml:space="preserve">the </w:t>
      </w:r>
      <w:r w:rsidRPr="00C433EE">
        <w:rPr>
          <w:rFonts w:asciiTheme="majorBidi" w:hAnsiTheme="majorBidi" w:cstheme="majorBidi"/>
          <w:sz w:val="24"/>
          <w:szCs w:val="24"/>
        </w:rPr>
        <w:t xml:space="preserve">control group. The categories of BMI are as follows: A BMI of 18.5 to 24.9 is in the healthy </w:t>
      </w:r>
      <w:r w:rsidRPr="00A23055">
        <w:rPr>
          <w:rFonts w:asciiTheme="majorBidi" w:hAnsiTheme="majorBidi" w:cstheme="majorBidi"/>
          <w:sz w:val="24"/>
          <w:szCs w:val="24"/>
        </w:rPr>
        <w:t xml:space="preserve">weight range, </w:t>
      </w:r>
      <w:r w:rsidR="004C7BD9" w:rsidRPr="00A23055">
        <w:rPr>
          <w:rFonts w:asciiTheme="majorBidi" w:hAnsiTheme="majorBidi" w:cstheme="majorBidi"/>
          <w:sz w:val="24"/>
          <w:szCs w:val="24"/>
        </w:rPr>
        <w:t xml:space="preserve">a </w:t>
      </w:r>
      <w:r w:rsidRPr="00A23055">
        <w:rPr>
          <w:rFonts w:asciiTheme="majorBidi" w:hAnsiTheme="majorBidi" w:cstheme="majorBidi"/>
          <w:sz w:val="24"/>
          <w:szCs w:val="24"/>
        </w:rPr>
        <w:t xml:space="preserve">BMI of 25 to 29.9 is in the overweight range </w:t>
      </w:r>
      <w:r w:rsidRPr="00A23055">
        <w:rPr>
          <w:rFonts w:asciiTheme="majorBidi" w:hAnsiTheme="majorBidi" w:cstheme="majorBidi"/>
          <w:sz w:val="24"/>
          <w:szCs w:val="24"/>
        </w:rPr>
        <w:t xml:space="preserve">and a BMI of 30 or more is in the obese range. The P-value </w:t>
      </w:r>
      <w:r w:rsidR="00710AA5" w:rsidRPr="00A23055">
        <w:rPr>
          <w:rFonts w:asciiTheme="majorBidi" w:hAnsiTheme="majorBidi" w:cstheme="majorBidi"/>
          <w:sz w:val="24"/>
          <w:szCs w:val="24"/>
        </w:rPr>
        <w:t>was (0.1) this indicates that the observed differences in BMI distribution between the Patients and Control groups are not statistically significant.</w:t>
      </w:r>
    </w:p>
    <w:p w14:paraId="2019D850" w14:textId="77777777" w:rsidR="00524CDD" w:rsidRDefault="00524CDD" w:rsidP="00BA14A2">
      <w:pPr>
        <w:spacing w:after="0" w:line="252" w:lineRule="auto"/>
        <w:ind w:firstLine="426"/>
        <w:jc w:val="both"/>
        <w:rPr>
          <w:rFonts w:asciiTheme="majorBidi" w:hAnsiTheme="majorBidi" w:cstheme="majorBidi"/>
          <w:sz w:val="24"/>
          <w:szCs w:val="24"/>
        </w:rPr>
        <w:sectPr w:rsidR="00524CDD" w:rsidSect="00524CDD">
          <w:type w:val="continuous"/>
          <w:pgSz w:w="11906" w:h="16838" w:code="9"/>
          <w:pgMar w:top="1701" w:right="1701" w:bottom="1701" w:left="1701" w:header="720" w:footer="720" w:gutter="0"/>
          <w:cols w:num="2" w:space="720"/>
          <w:titlePg/>
          <w:docGrid w:linePitch="360"/>
        </w:sectPr>
      </w:pPr>
    </w:p>
    <w:p w14:paraId="2B83E413" w14:textId="4344C8C1" w:rsidR="004C7BD9" w:rsidRPr="00E0443D" w:rsidRDefault="004C7BD9" w:rsidP="00BA14A2">
      <w:pPr>
        <w:spacing w:after="0" w:line="252" w:lineRule="auto"/>
        <w:ind w:firstLine="426"/>
        <w:jc w:val="both"/>
        <w:rPr>
          <w:rFonts w:asciiTheme="majorBidi" w:hAnsiTheme="majorBidi" w:cstheme="majorBidi"/>
          <w:sz w:val="20"/>
          <w:szCs w:val="20"/>
        </w:rPr>
      </w:pPr>
    </w:p>
    <w:p w14:paraId="7DD1768E" w14:textId="24645A6D" w:rsidR="00DB4C04" w:rsidRPr="00C433EE" w:rsidRDefault="00DB4C04" w:rsidP="00BA14A2">
      <w:pPr>
        <w:spacing w:after="0" w:line="252" w:lineRule="auto"/>
        <w:jc w:val="center"/>
        <w:rPr>
          <w:rFonts w:asciiTheme="majorBidi" w:eastAsia="Calibri" w:hAnsiTheme="majorBidi" w:cstheme="majorBidi"/>
          <w:b/>
          <w:bCs/>
          <w:sz w:val="20"/>
          <w:szCs w:val="20"/>
        </w:rPr>
      </w:pPr>
      <w:r w:rsidRPr="00C433EE">
        <w:rPr>
          <w:rFonts w:asciiTheme="majorBidi" w:eastAsia="Calibri" w:hAnsiTheme="majorBidi" w:cstheme="majorBidi"/>
          <w:b/>
          <w:bCs/>
          <w:sz w:val="20"/>
          <w:szCs w:val="20"/>
        </w:rPr>
        <w:t>Table</w:t>
      </w:r>
      <w:r w:rsidR="004C7BD9" w:rsidRPr="00C433EE">
        <w:rPr>
          <w:rFonts w:asciiTheme="majorBidi" w:eastAsia="Calibri" w:hAnsiTheme="majorBidi" w:cstheme="majorBidi"/>
          <w:b/>
          <w:bCs/>
          <w:sz w:val="20"/>
          <w:szCs w:val="20"/>
        </w:rPr>
        <w:t xml:space="preserve"> </w:t>
      </w:r>
      <w:r w:rsidR="00C433EE" w:rsidRPr="00C433EE">
        <w:rPr>
          <w:rFonts w:asciiTheme="majorBidi" w:eastAsia="Calibri" w:hAnsiTheme="majorBidi" w:cstheme="majorBidi"/>
          <w:b/>
          <w:bCs/>
          <w:sz w:val="20"/>
          <w:szCs w:val="20"/>
        </w:rPr>
        <w:t>(</w:t>
      </w:r>
      <w:r w:rsidR="00006549" w:rsidRPr="00C433EE">
        <w:rPr>
          <w:rFonts w:asciiTheme="majorBidi" w:eastAsia="Calibri" w:hAnsiTheme="majorBidi" w:cstheme="majorBidi"/>
          <w:b/>
          <w:bCs/>
          <w:sz w:val="20"/>
          <w:szCs w:val="20"/>
        </w:rPr>
        <w:t>2</w:t>
      </w:r>
      <w:r w:rsidR="00C433EE" w:rsidRPr="00C433EE">
        <w:rPr>
          <w:rFonts w:asciiTheme="majorBidi" w:eastAsia="Calibri" w:hAnsiTheme="majorBidi" w:cstheme="majorBidi"/>
          <w:b/>
          <w:bCs/>
          <w:sz w:val="20"/>
          <w:szCs w:val="20"/>
        </w:rPr>
        <w:t>)</w:t>
      </w:r>
      <w:r w:rsidRPr="00C433EE">
        <w:rPr>
          <w:rFonts w:asciiTheme="majorBidi" w:eastAsia="Calibri" w:hAnsiTheme="majorBidi" w:cstheme="majorBidi"/>
          <w:b/>
          <w:bCs/>
          <w:sz w:val="20"/>
          <w:szCs w:val="20"/>
          <w:rtl/>
        </w:rPr>
        <w:t>:</w:t>
      </w:r>
      <w:r w:rsidRPr="00C433EE">
        <w:rPr>
          <w:rFonts w:asciiTheme="majorBidi" w:eastAsia="Calibri" w:hAnsiTheme="majorBidi" w:cstheme="majorBidi"/>
          <w:b/>
          <w:bCs/>
          <w:sz w:val="20"/>
          <w:szCs w:val="20"/>
        </w:rPr>
        <w:t xml:space="preserve"> Comparison between patients and control groups in BMI.</w:t>
      </w:r>
    </w:p>
    <w:tbl>
      <w:tblPr>
        <w:tblStyle w:val="TableGrid"/>
        <w:tblW w:w="8130" w:type="dxa"/>
        <w:jc w:val="center"/>
        <w:tblLayout w:type="fixed"/>
        <w:tblLook w:val="0000" w:firstRow="0" w:lastRow="0" w:firstColumn="0" w:lastColumn="0" w:noHBand="0" w:noVBand="0"/>
      </w:tblPr>
      <w:tblGrid>
        <w:gridCol w:w="1738"/>
        <w:gridCol w:w="2415"/>
        <w:gridCol w:w="2415"/>
        <w:gridCol w:w="1562"/>
      </w:tblGrid>
      <w:tr w:rsidR="00DB4C04" w:rsidRPr="00C433EE" w14:paraId="7130DDE5" w14:textId="77777777" w:rsidTr="00C433EE">
        <w:trPr>
          <w:trHeight w:val="20"/>
          <w:jc w:val="center"/>
        </w:trPr>
        <w:tc>
          <w:tcPr>
            <w:tcW w:w="1738" w:type="dxa"/>
            <w:vMerge w:val="restart"/>
            <w:shd w:val="clear" w:color="auto" w:fill="D9D9D9" w:themeFill="background1" w:themeFillShade="D9"/>
            <w:vAlign w:val="center"/>
          </w:tcPr>
          <w:p w14:paraId="67BE14A1" w14:textId="77777777" w:rsidR="00DB4C04" w:rsidRPr="00C433EE" w:rsidRDefault="00DB4C04" w:rsidP="00BA14A2">
            <w:pPr>
              <w:autoSpaceDE w:val="0"/>
              <w:autoSpaceDN w:val="0"/>
              <w:adjustRightInd w:val="0"/>
              <w:spacing w:line="252" w:lineRule="auto"/>
              <w:jc w:val="center"/>
              <w:rPr>
                <w:rFonts w:asciiTheme="majorBidi" w:hAnsiTheme="majorBidi" w:cstheme="majorBidi"/>
                <w:b/>
                <w:bCs/>
                <w:sz w:val="20"/>
                <w:szCs w:val="20"/>
              </w:rPr>
            </w:pPr>
            <w:r w:rsidRPr="00C433EE">
              <w:rPr>
                <w:rFonts w:asciiTheme="majorBidi" w:hAnsiTheme="majorBidi" w:cstheme="majorBidi"/>
                <w:b/>
                <w:bCs/>
                <w:sz w:val="20"/>
                <w:szCs w:val="20"/>
              </w:rPr>
              <w:t>BMI</w:t>
            </w:r>
          </w:p>
        </w:tc>
        <w:tc>
          <w:tcPr>
            <w:tcW w:w="4830" w:type="dxa"/>
            <w:gridSpan w:val="2"/>
            <w:shd w:val="clear" w:color="auto" w:fill="D9D9D9" w:themeFill="background1" w:themeFillShade="D9"/>
            <w:vAlign w:val="center"/>
          </w:tcPr>
          <w:p w14:paraId="022A45D3" w14:textId="77777777" w:rsidR="00DB4C04" w:rsidRPr="00C433EE" w:rsidRDefault="00DB4C04" w:rsidP="00BA14A2">
            <w:pPr>
              <w:autoSpaceDE w:val="0"/>
              <w:autoSpaceDN w:val="0"/>
              <w:adjustRightInd w:val="0"/>
              <w:spacing w:line="252" w:lineRule="auto"/>
              <w:jc w:val="center"/>
              <w:rPr>
                <w:rFonts w:asciiTheme="majorBidi" w:hAnsiTheme="majorBidi" w:cstheme="majorBidi"/>
                <w:b/>
                <w:bCs/>
                <w:sz w:val="20"/>
                <w:szCs w:val="20"/>
              </w:rPr>
            </w:pPr>
            <w:r w:rsidRPr="00C433EE">
              <w:rPr>
                <w:rFonts w:asciiTheme="majorBidi" w:hAnsiTheme="majorBidi" w:cstheme="majorBidi"/>
                <w:b/>
                <w:bCs/>
                <w:sz w:val="20"/>
                <w:szCs w:val="20"/>
              </w:rPr>
              <w:t>Groups</w:t>
            </w:r>
          </w:p>
        </w:tc>
        <w:tc>
          <w:tcPr>
            <w:tcW w:w="1562" w:type="dxa"/>
            <w:vMerge w:val="restart"/>
            <w:shd w:val="clear" w:color="auto" w:fill="D9D9D9" w:themeFill="background1" w:themeFillShade="D9"/>
            <w:vAlign w:val="center"/>
          </w:tcPr>
          <w:p w14:paraId="2AC56142" w14:textId="77777777" w:rsidR="00DB4C04" w:rsidRPr="00C433EE" w:rsidRDefault="00DB4C04" w:rsidP="00BA14A2">
            <w:pPr>
              <w:autoSpaceDE w:val="0"/>
              <w:autoSpaceDN w:val="0"/>
              <w:adjustRightInd w:val="0"/>
              <w:spacing w:line="252" w:lineRule="auto"/>
              <w:jc w:val="center"/>
              <w:rPr>
                <w:rFonts w:asciiTheme="majorBidi" w:hAnsiTheme="majorBidi" w:cstheme="majorBidi"/>
                <w:b/>
                <w:bCs/>
                <w:sz w:val="20"/>
                <w:szCs w:val="20"/>
              </w:rPr>
            </w:pPr>
            <w:r w:rsidRPr="00C433EE">
              <w:rPr>
                <w:rFonts w:asciiTheme="majorBidi" w:hAnsiTheme="majorBidi" w:cstheme="majorBidi"/>
                <w:b/>
                <w:bCs/>
                <w:sz w:val="20"/>
                <w:szCs w:val="20"/>
              </w:rPr>
              <w:t>P-value</w:t>
            </w:r>
          </w:p>
        </w:tc>
      </w:tr>
      <w:tr w:rsidR="00DB4C04" w:rsidRPr="00C433EE" w14:paraId="6537C2FB" w14:textId="77777777" w:rsidTr="00C433EE">
        <w:trPr>
          <w:trHeight w:val="20"/>
          <w:jc w:val="center"/>
        </w:trPr>
        <w:tc>
          <w:tcPr>
            <w:tcW w:w="1738" w:type="dxa"/>
            <w:vMerge/>
            <w:shd w:val="clear" w:color="auto" w:fill="D9D9D9" w:themeFill="background1" w:themeFillShade="D9"/>
            <w:vAlign w:val="center"/>
          </w:tcPr>
          <w:p w14:paraId="7ABD7E84" w14:textId="77777777" w:rsidR="00DB4C04" w:rsidRPr="00C433EE" w:rsidRDefault="00DB4C04" w:rsidP="00BA14A2">
            <w:pPr>
              <w:autoSpaceDE w:val="0"/>
              <w:autoSpaceDN w:val="0"/>
              <w:adjustRightInd w:val="0"/>
              <w:spacing w:line="252" w:lineRule="auto"/>
              <w:jc w:val="center"/>
              <w:rPr>
                <w:rFonts w:asciiTheme="majorBidi" w:hAnsiTheme="majorBidi" w:cstheme="majorBidi"/>
                <w:sz w:val="20"/>
                <w:szCs w:val="20"/>
              </w:rPr>
            </w:pPr>
          </w:p>
        </w:tc>
        <w:tc>
          <w:tcPr>
            <w:tcW w:w="2415" w:type="dxa"/>
            <w:shd w:val="clear" w:color="auto" w:fill="D9D9D9" w:themeFill="background1" w:themeFillShade="D9"/>
            <w:vAlign w:val="center"/>
          </w:tcPr>
          <w:p w14:paraId="52AB968C" w14:textId="77777777" w:rsidR="00DB4C04" w:rsidRPr="00C433EE" w:rsidRDefault="00DB4C04" w:rsidP="00BA14A2">
            <w:pPr>
              <w:autoSpaceDE w:val="0"/>
              <w:autoSpaceDN w:val="0"/>
              <w:adjustRightInd w:val="0"/>
              <w:spacing w:line="252" w:lineRule="auto"/>
              <w:jc w:val="center"/>
              <w:rPr>
                <w:rFonts w:asciiTheme="majorBidi" w:hAnsiTheme="majorBidi" w:cstheme="majorBidi"/>
                <w:b/>
                <w:bCs/>
                <w:sz w:val="20"/>
                <w:szCs w:val="20"/>
              </w:rPr>
            </w:pPr>
            <w:r w:rsidRPr="00C433EE">
              <w:rPr>
                <w:rFonts w:asciiTheme="majorBidi" w:hAnsiTheme="majorBidi" w:cstheme="majorBidi"/>
                <w:b/>
                <w:bCs/>
                <w:sz w:val="20"/>
                <w:szCs w:val="20"/>
              </w:rPr>
              <w:t>Patients (100)</w:t>
            </w:r>
          </w:p>
        </w:tc>
        <w:tc>
          <w:tcPr>
            <w:tcW w:w="2415" w:type="dxa"/>
            <w:shd w:val="clear" w:color="auto" w:fill="D9D9D9" w:themeFill="background1" w:themeFillShade="D9"/>
            <w:vAlign w:val="center"/>
          </w:tcPr>
          <w:p w14:paraId="1BBB57CC" w14:textId="77777777" w:rsidR="00DB4C04" w:rsidRPr="00C433EE" w:rsidRDefault="00DB4C04" w:rsidP="00BA14A2">
            <w:pPr>
              <w:autoSpaceDE w:val="0"/>
              <w:autoSpaceDN w:val="0"/>
              <w:adjustRightInd w:val="0"/>
              <w:spacing w:line="252" w:lineRule="auto"/>
              <w:jc w:val="center"/>
              <w:rPr>
                <w:rFonts w:asciiTheme="majorBidi" w:hAnsiTheme="majorBidi" w:cstheme="majorBidi"/>
                <w:b/>
                <w:bCs/>
                <w:sz w:val="20"/>
                <w:szCs w:val="20"/>
              </w:rPr>
            </w:pPr>
            <w:r w:rsidRPr="00C433EE">
              <w:rPr>
                <w:rFonts w:asciiTheme="majorBidi" w:hAnsiTheme="majorBidi" w:cstheme="majorBidi"/>
                <w:b/>
                <w:bCs/>
                <w:sz w:val="20"/>
                <w:szCs w:val="20"/>
              </w:rPr>
              <w:t>Control (50)</w:t>
            </w:r>
          </w:p>
        </w:tc>
        <w:tc>
          <w:tcPr>
            <w:tcW w:w="1562" w:type="dxa"/>
            <w:vMerge/>
            <w:shd w:val="clear" w:color="auto" w:fill="D9D9D9" w:themeFill="background1" w:themeFillShade="D9"/>
            <w:vAlign w:val="center"/>
          </w:tcPr>
          <w:p w14:paraId="7D23E5E7" w14:textId="77777777" w:rsidR="00DB4C04" w:rsidRPr="00C433EE" w:rsidRDefault="00DB4C04" w:rsidP="00BA14A2">
            <w:pPr>
              <w:autoSpaceDE w:val="0"/>
              <w:autoSpaceDN w:val="0"/>
              <w:adjustRightInd w:val="0"/>
              <w:spacing w:line="252" w:lineRule="auto"/>
              <w:jc w:val="center"/>
              <w:rPr>
                <w:rFonts w:asciiTheme="majorBidi" w:hAnsiTheme="majorBidi" w:cstheme="majorBidi"/>
                <w:b/>
                <w:bCs/>
                <w:sz w:val="20"/>
                <w:szCs w:val="20"/>
              </w:rPr>
            </w:pPr>
          </w:p>
        </w:tc>
      </w:tr>
      <w:tr w:rsidR="00DB4C04" w:rsidRPr="00C433EE" w14:paraId="6A1DF961" w14:textId="77777777" w:rsidTr="00C433EE">
        <w:trPr>
          <w:trHeight w:val="20"/>
          <w:jc w:val="center"/>
        </w:trPr>
        <w:tc>
          <w:tcPr>
            <w:tcW w:w="1738" w:type="dxa"/>
            <w:vAlign w:val="center"/>
          </w:tcPr>
          <w:p w14:paraId="273FFEF6" w14:textId="77777777" w:rsidR="00DB4C04" w:rsidRPr="00C433EE" w:rsidRDefault="00DB4C04" w:rsidP="00BA14A2">
            <w:pPr>
              <w:autoSpaceDE w:val="0"/>
              <w:autoSpaceDN w:val="0"/>
              <w:adjustRightInd w:val="0"/>
              <w:spacing w:line="252" w:lineRule="auto"/>
              <w:jc w:val="center"/>
              <w:rPr>
                <w:rFonts w:asciiTheme="majorBidi" w:hAnsiTheme="majorBidi" w:cstheme="majorBidi"/>
                <w:b/>
                <w:bCs/>
                <w:sz w:val="20"/>
                <w:szCs w:val="20"/>
              </w:rPr>
            </w:pPr>
            <w:r w:rsidRPr="00C433EE">
              <w:rPr>
                <w:rFonts w:asciiTheme="majorBidi" w:hAnsiTheme="majorBidi" w:cstheme="majorBidi"/>
                <w:b/>
                <w:bCs/>
                <w:sz w:val="20"/>
                <w:szCs w:val="20"/>
              </w:rPr>
              <w:t>18.5 – 24.9</w:t>
            </w:r>
          </w:p>
        </w:tc>
        <w:tc>
          <w:tcPr>
            <w:tcW w:w="2415" w:type="dxa"/>
            <w:vAlign w:val="center"/>
          </w:tcPr>
          <w:p w14:paraId="5D24ECCC" w14:textId="77777777" w:rsidR="00DB4C04" w:rsidRPr="00C433EE" w:rsidRDefault="00DB4C04" w:rsidP="00BA14A2">
            <w:pPr>
              <w:autoSpaceDE w:val="0"/>
              <w:autoSpaceDN w:val="0"/>
              <w:adjustRightInd w:val="0"/>
              <w:spacing w:line="252" w:lineRule="auto"/>
              <w:jc w:val="center"/>
              <w:rPr>
                <w:rFonts w:asciiTheme="majorBidi" w:hAnsiTheme="majorBidi" w:cstheme="majorBidi"/>
                <w:sz w:val="20"/>
                <w:szCs w:val="20"/>
              </w:rPr>
            </w:pPr>
            <w:r w:rsidRPr="00C433EE">
              <w:rPr>
                <w:rFonts w:asciiTheme="majorBidi" w:hAnsiTheme="majorBidi" w:cstheme="majorBidi"/>
                <w:sz w:val="20"/>
                <w:szCs w:val="20"/>
              </w:rPr>
              <w:t>30 (30%)</w:t>
            </w:r>
          </w:p>
        </w:tc>
        <w:tc>
          <w:tcPr>
            <w:tcW w:w="2415" w:type="dxa"/>
            <w:vAlign w:val="center"/>
          </w:tcPr>
          <w:p w14:paraId="6C9D283F" w14:textId="77777777" w:rsidR="00DB4C04" w:rsidRPr="00C433EE" w:rsidRDefault="00DB4C04" w:rsidP="00BA14A2">
            <w:pPr>
              <w:autoSpaceDE w:val="0"/>
              <w:autoSpaceDN w:val="0"/>
              <w:adjustRightInd w:val="0"/>
              <w:spacing w:line="252" w:lineRule="auto"/>
              <w:jc w:val="center"/>
              <w:rPr>
                <w:rFonts w:asciiTheme="majorBidi" w:hAnsiTheme="majorBidi" w:cstheme="majorBidi"/>
                <w:sz w:val="20"/>
                <w:szCs w:val="20"/>
              </w:rPr>
            </w:pPr>
            <w:r w:rsidRPr="00C433EE">
              <w:rPr>
                <w:rFonts w:asciiTheme="majorBidi" w:hAnsiTheme="majorBidi" w:cstheme="majorBidi"/>
                <w:sz w:val="20"/>
                <w:szCs w:val="20"/>
              </w:rPr>
              <w:t>12 (24%)</w:t>
            </w:r>
          </w:p>
        </w:tc>
        <w:tc>
          <w:tcPr>
            <w:tcW w:w="1562" w:type="dxa"/>
            <w:vMerge w:val="restart"/>
            <w:vAlign w:val="center"/>
          </w:tcPr>
          <w:p w14:paraId="641DE66E" w14:textId="77777777" w:rsidR="00DB4C04" w:rsidRPr="00C433EE" w:rsidRDefault="00DB4C04" w:rsidP="00BA14A2">
            <w:pPr>
              <w:autoSpaceDE w:val="0"/>
              <w:autoSpaceDN w:val="0"/>
              <w:adjustRightInd w:val="0"/>
              <w:spacing w:line="252" w:lineRule="auto"/>
              <w:jc w:val="center"/>
              <w:rPr>
                <w:rFonts w:asciiTheme="majorBidi" w:hAnsiTheme="majorBidi" w:cstheme="majorBidi"/>
                <w:sz w:val="20"/>
                <w:szCs w:val="20"/>
              </w:rPr>
            </w:pPr>
            <w:r w:rsidRPr="00C433EE">
              <w:rPr>
                <w:rFonts w:asciiTheme="majorBidi" w:hAnsiTheme="majorBidi" w:cstheme="majorBidi"/>
                <w:sz w:val="20"/>
                <w:szCs w:val="20"/>
              </w:rPr>
              <w:t>0.1 NS</w:t>
            </w:r>
          </w:p>
        </w:tc>
      </w:tr>
      <w:tr w:rsidR="00DB4C04" w:rsidRPr="00C433EE" w14:paraId="63B3AAD8" w14:textId="77777777" w:rsidTr="00C433EE">
        <w:trPr>
          <w:trHeight w:val="20"/>
          <w:jc w:val="center"/>
        </w:trPr>
        <w:tc>
          <w:tcPr>
            <w:tcW w:w="1738" w:type="dxa"/>
            <w:vAlign w:val="center"/>
          </w:tcPr>
          <w:p w14:paraId="1AF4DBE7" w14:textId="77777777" w:rsidR="00DB4C04" w:rsidRPr="00C433EE" w:rsidRDefault="00DB4C04" w:rsidP="00BA14A2">
            <w:pPr>
              <w:autoSpaceDE w:val="0"/>
              <w:autoSpaceDN w:val="0"/>
              <w:adjustRightInd w:val="0"/>
              <w:spacing w:line="252" w:lineRule="auto"/>
              <w:jc w:val="center"/>
              <w:rPr>
                <w:rFonts w:asciiTheme="majorBidi" w:hAnsiTheme="majorBidi" w:cstheme="majorBidi"/>
                <w:b/>
                <w:bCs/>
                <w:sz w:val="20"/>
                <w:szCs w:val="20"/>
              </w:rPr>
            </w:pPr>
            <w:r w:rsidRPr="00C433EE">
              <w:rPr>
                <w:rFonts w:asciiTheme="majorBidi" w:hAnsiTheme="majorBidi" w:cstheme="majorBidi"/>
                <w:b/>
                <w:bCs/>
                <w:sz w:val="20"/>
                <w:szCs w:val="20"/>
              </w:rPr>
              <w:t>25 -29.9</w:t>
            </w:r>
          </w:p>
        </w:tc>
        <w:tc>
          <w:tcPr>
            <w:tcW w:w="2415" w:type="dxa"/>
            <w:vAlign w:val="center"/>
          </w:tcPr>
          <w:p w14:paraId="3EA4E258" w14:textId="77777777" w:rsidR="00DB4C04" w:rsidRPr="00C433EE" w:rsidRDefault="00DB4C04" w:rsidP="00BA14A2">
            <w:pPr>
              <w:autoSpaceDE w:val="0"/>
              <w:autoSpaceDN w:val="0"/>
              <w:adjustRightInd w:val="0"/>
              <w:spacing w:line="252" w:lineRule="auto"/>
              <w:jc w:val="center"/>
              <w:rPr>
                <w:rFonts w:asciiTheme="majorBidi" w:hAnsiTheme="majorBidi" w:cstheme="majorBidi"/>
                <w:sz w:val="20"/>
                <w:szCs w:val="20"/>
              </w:rPr>
            </w:pPr>
            <w:r w:rsidRPr="00C433EE">
              <w:rPr>
                <w:rFonts w:asciiTheme="majorBidi" w:hAnsiTheme="majorBidi" w:cstheme="majorBidi"/>
                <w:sz w:val="20"/>
                <w:szCs w:val="20"/>
              </w:rPr>
              <w:t>28 (28%)</w:t>
            </w:r>
          </w:p>
        </w:tc>
        <w:tc>
          <w:tcPr>
            <w:tcW w:w="2415" w:type="dxa"/>
            <w:vAlign w:val="center"/>
          </w:tcPr>
          <w:p w14:paraId="568C1100" w14:textId="77777777" w:rsidR="00DB4C04" w:rsidRPr="00C433EE" w:rsidRDefault="00DB4C04" w:rsidP="00BA14A2">
            <w:pPr>
              <w:autoSpaceDE w:val="0"/>
              <w:autoSpaceDN w:val="0"/>
              <w:adjustRightInd w:val="0"/>
              <w:spacing w:line="252" w:lineRule="auto"/>
              <w:jc w:val="center"/>
              <w:rPr>
                <w:rFonts w:asciiTheme="majorBidi" w:hAnsiTheme="majorBidi" w:cstheme="majorBidi"/>
                <w:sz w:val="20"/>
                <w:szCs w:val="20"/>
              </w:rPr>
            </w:pPr>
            <w:r w:rsidRPr="00C433EE">
              <w:rPr>
                <w:rFonts w:asciiTheme="majorBidi" w:hAnsiTheme="majorBidi" w:cstheme="majorBidi"/>
                <w:sz w:val="20"/>
                <w:szCs w:val="20"/>
              </w:rPr>
              <w:t>26 (52%)</w:t>
            </w:r>
          </w:p>
        </w:tc>
        <w:tc>
          <w:tcPr>
            <w:tcW w:w="1562" w:type="dxa"/>
            <w:vMerge/>
            <w:vAlign w:val="center"/>
          </w:tcPr>
          <w:p w14:paraId="56750E55" w14:textId="77777777" w:rsidR="00DB4C04" w:rsidRPr="00C433EE" w:rsidRDefault="00DB4C04" w:rsidP="00BA14A2">
            <w:pPr>
              <w:autoSpaceDE w:val="0"/>
              <w:autoSpaceDN w:val="0"/>
              <w:adjustRightInd w:val="0"/>
              <w:spacing w:line="252" w:lineRule="auto"/>
              <w:jc w:val="center"/>
              <w:rPr>
                <w:rFonts w:asciiTheme="majorBidi" w:hAnsiTheme="majorBidi" w:cstheme="majorBidi"/>
                <w:sz w:val="20"/>
                <w:szCs w:val="20"/>
              </w:rPr>
            </w:pPr>
          </w:p>
        </w:tc>
      </w:tr>
      <w:tr w:rsidR="00DB4C04" w:rsidRPr="00C433EE" w14:paraId="28A0528F" w14:textId="77777777" w:rsidTr="00C433EE">
        <w:trPr>
          <w:trHeight w:val="20"/>
          <w:jc w:val="center"/>
        </w:trPr>
        <w:tc>
          <w:tcPr>
            <w:tcW w:w="1738" w:type="dxa"/>
            <w:vAlign w:val="center"/>
          </w:tcPr>
          <w:p w14:paraId="7EAE03BF" w14:textId="77777777" w:rsidR="00DB4C04" w:rsidRPr="00C433EE" w:rsidRDefault="00DB4C04" w:rsidP="00BA14A2">
            <w:pPr>
              <w:autoSpaceDE w:val="0"/>
              <w:autoSpaceDN w:val="0"/>
              <w:adjustRightInd w:val="0"/>
              <w:spacing w:line="252" w:lineRule="auto"/>
              <w:jc w:val="center"/>
              <w:rPr>
                <w:rFonts w:asciiTheme="majorBidi" w:hAnsiTheme="majorBidi" w:cstheme="majorBidi"/>
                <w:b/>
                <w:bCs/>
                <w:sz w:val="20"/>
                <w:szCs w:val="20"/>
              </w:rPr>
            </w:pPr>
            <w:r w:rsidRPr="00C433EE">
              <w:rPr>
                <w:rFonts w:asciiTheme="majorBidi" w:hAnsiTheme="majorBidi" w:cstheme="majorBidi"/>
                <w:b/>
                <w:bCs/>
                <w:sz w:val="20"/>
                <w:szCs w:val="20"/>
              </w:rPr>
              <w:t>&gt; 30</w:t>
            </w:r>
          </w:p>
        </w:tc>
        <w:tc>
          <w:tcPr>
            <w:tcW w:w="2415" w:type="dxa"/>
            <w:vAlign w:val="center"/>
          </w:tcPr>
          <w:p w14:paraId="74D2AA13" w14:textId="77777777" w:rsidR="00DB4C04" w:rsidRPr="00C433EE" w:rsidRDefault="00DB4C04" w:rsidP="00BA14A2">
            <w:pPr>
              <w:autoSpaceDE w:val="0"/>
              <w:autoSpaceDN w:val="0"/>
              <w:adjustRightInd w:val="0"/>
              <w:spacing w:line="252" w:lineRule="auto"/>
              <w:jc w:val="center"/>
              <w:rPr>
                <w:rFonts w:asciiTheme="majorBidi" w:hAnsiTheme="majorBidi" w:cstheme="majorBidi"/>
                <w:sz w:val="20"/>
                <w:szCs w:val="20"/>
              </w:rPr>
            </w:pPr>
            <w:r w:rsidRPr="00C433EE">
              <w:rPr>
                <w:rFonts w:asciiTheme="majorBidi" w:hAnsiTheme="majorBidi" w:cstheme="majorBidi"/>
                <w:sz w:val="20"/>
                <w:szCs w:val="20"/>
              </w:rPr>
              <w:t>42 (42%)</w:t>
            </w:r>
          </w:p>
        </w:tc>
        <w:tc>
          <w:tcPr>
            <w:tcW w:w="2415" w:type="dxa"/>
            <w:vAlign w:val="center"/>
          </w:tcPr>
          <w:p w14:paraId="50D38620" w14:textId="77777777" w:rsidR="00DB4C04" w:rsidRPr="00C433EE" w:rsidRDefault="00DB4C04" w:rsidP="00BA14A2">
            <w:pPr>
              <w:autoSpaceDE w:val="0"/>
              <w:autoSpaceDN w:val="0"/>
              <w:adjustRightInd w:val="0"/>
              <w:spacing w:line="252" w:lineRule="auto"/>
              <w:jc w:val="center"/>
              <w:rPr>
                <w:rFonts w:asciiTheme="majorBidi" w:hAnsiTheme="majorBidi" w:cstheme="majorBidi"/>
                <w:sz w:val="20"/>
                <w:szCs w:val="20"/>
              </w:rPr>
            </w:pPr>
            <w:r w:rsidRPr="00C433EE">
              <w:rPr>
                <w:rFonts w:asciiTheme="majorBidi" w:hAnsiTheme="majorBidi" w:cstheme="majorBidi"/>
                <w:sz w:val="20"/>
                <w:szCs w:val="20"/>
              </w:rPr>
              <w:t>12 (24%)</w:t>
            </w:r>
          </w:p>
        </w:tc>
        <w:tc>
          <w:tcPr>
            <w:tcW w:w="1562" w:type="dxa"/>
            <w:vMerge/>
            <w:vAlign w:val="center"/>
          </w:tcPr>
          <w:p w14:paraId="5DCD50C4" w14:textId="77777777" w:rsidR="00DB4C04" w:rsidRPr="00C433EE" w:rsidRDefault="00DB4C04" w:rsidP="00BA14A2">
            <w:pPr>
              <w:autoSpaceDE w:val="0"/>
              <w:autoSpaceDN w:val="0"/>
              <w:adjustRightInd w:val="0"/>
              <w:spacing w:line="252" w:lineRule="auto"/>
              <w:jc w:val="center"/>
              <w:rPr>
                <w:rFonts w:asciiTheme="majorBidi" w:hAnsiTheme="majorBidi" w:cstheme="majorBidi"/>
                <w:sz w:val="20"/>
                <w:szCs w:val="20"/>
              </w:rPr>
            </w:pPr>
          </w:p>
        </w:tc>
      </w:tr>
      <w:tr w:rsidR="00DB4C04" w:rsidRPr="00C433EE" w14:paraId="0A9BB92E" w14:textId="77777777" w:rsidTr="00C433EE">
        <w:trPr>
          <w:trHeight w:val="20"/>
          <w:jc w:val="center"/>
        </w:trPr>
        <w:tc>
          <w:tcPr>
            <w:tcW w:w="1738" w:type="dxa"/>
            <w:vAlign w:val="center"/>
          </w:tcPr>
          <w:p w14:paraId="298C0C3F" w14:textId="77777777" w:rsidR="00DB4C04" w:rsidRPr="00C433EE" w:rsidRDefault="00DB4C04" w:rsidP="00BA14A2">
            <w:pPr>
              <w:autoSpaceDE w:val="0"/>
              <w:autoSpaceDN w:val="0"/>
              <w:adjustRightInd w:val="0"/>
              <w:spacing w:line="252" w:lineRule="auto"/>
              <w:jc w:val="center"/>
              <w:rPr>
                <w:rFonts w:asciiTheme="majorBidi" w:hAnsiTheme="majorBidi" w:cstheme="majorBidi"/>
                <w:sz w:val="20"/>
                <w:szCs w:val="20"/>
              </w:rPr>
            </w:pPr>
            <w:r w:rsidRPr="00C433EE">
              <w:rPr>
                <w:rFonts w:asciiTheme="majorBidi" w:hAnsiTheme="majorBidi" w:cstheme="majorBidi"/>
                <w:b/>
                <w:bCs/>
                <w:sz w:val="20"/>
                <w:szCs w:val="20"/>
              </w:rPr>
              <w:t>Mean ± SD</w:t>
            </w:r>
          </w:p>
        </w:tc>
        <w:tc>
          <w:tcPr>
            <w:tcW w:w="2415" w:type="dxa"/>
            <w:vAlign w:val="center"/>
          </w:tcPr>
          <w:p w14:paraId="7CBE8D9F" w14:textId="77777777" w:rsidR="00DB4C04" w:rsidRPr="00C433EE" w:rsidRDefault="00DB4C04" w:rsidP="00BA14A2">
            <w:pPr>
              <w:autoSpaceDE w:val="0"/>
              <w:autoSpaceDN w:val="0"/>
              <w:adjustRightInd w:val="0"/>
              <w:spacing w:line="252" w:lineRule="auto"/>
              <w:jc w:val="center"/>
              <w:rPr>
                <w:rFonts w:asciiTheme="majorBidi" w:hAnsiTheme="majorBidi" w:cstheme="majorBidi"/>
                <w:sz w:val="20"/>
                <w:szCs w:val="20"/>
              </w:rPr>
            </w:pPr>
            <w:r w:rsidRPr="00C433EE">
              <w:rPr>
                <w:rFonts w:asciiTheme="majorBidi" w:hAnsiTheme="majorBidi" w:cstheme="majorBidi"/>
                <w:sz w:val="20"/>
                <w:szCs w:val="20"/>
              </w:rPr>
              <w:t xml:space="preserve">28.86 </w:t>
            </w:r>
            <w:r w:rsidRPr="00C433EE">
              <w:rPr>
                <w:rFonts w:asciiTheme="majorBidi" w:hAnsiTheme="majorBidi" w:cstheme="majorBidi"/>
                <w:b/>
                <w:bCs/>
                <w:sz w:val="20"/>
                <w:szCs w:val="20"/>
              </w:rPr>
              <w:t>± 6.97</w:t>
            </w:r>
          </w:p>
        </w:tc>
        <w:tc>
          <w:tcPr>
            <w:tcW w:w="2415" w:type="dxa"/>
            <w:vAlign w:val="center"/>
          </w:tcPr>
          <w:p w14:paraId="354C0A91" w14:textId="77777777" w:rsidR="00DB4C04" w:rsidRPr="00C433EE" w:rsidRDefault="00DB4C04" w:rsidP="00BA14A2">
            <w:pPr>
              <w:autoSpaceDE w:val="0"/>
              <w:autoSpaceDN w:val="0"/>
              <w:adjustRightInd w:val="0"/>
              <w:spacing w:line="252" w:lineRule="auto"/>
              <w:jc w:val="center"/>
              <w:rPr>
                <w:rFonts w:asciiTheme="majorBidi" w:hAnsiTheme="majorBidi" w:cstheme="majorBidi"/>
                <w:sz w:val="20"/>
                <w:szCs w:val="20"/>
              </w:rPr>
            </w:pPr>
            <w:r w:rsidRPr="00C433EE">
              <w:rPr>
                <w:rFonts w:asciiTheme="majorBidi" w:hAnsiTheme="majorBidi" w:cstheme="majorBidi"/>
                <w:sz w:val="20"/>
                <w:szCs w:val="20"/>
              </w:rPr>
              <w:t xml:space="preserve">27.08 </w:t>
            </w:r>
            <w:r w:rsidRPr="00C433EE">
              <w:rPr>
                <w:rFonts w:asciiTheme="majorBidi" w:hAnsiTheme="majorBidi" w:cstheme="majorBidi"/>
                <w:b/>
                <w:bCs/>
                <w:sz w:val="20"/>
                <w:szCs w:val="20"/>
              </w:rPr>
              <w:t>± 4.49</w:t>
            </w:r>
          </w:p>
        </w:tc>
        <w:tc>
          <w:tcPr>
            <w:tcW w:w="1562" w:type="dxa"/>
            <w:vMerge/>
            <w:vAlign w:val="center"/>
          </w:tcPr>
          <w:p w14:paraId="413E359E" w14:textId="77777777" w:rsidR="00DB4C04" w:rsidRPr="00C433EE" w:rsidRDefault="00DB4C04" w:rsidP="00BA14A2">
            <w:pPr>
              <w:autoSpaceDE w:val="0"/>
              <w:autoSpaceDN w:val="0"/>
              <w:adjustRightInd w:val="0"/>
              <w:spacing w:line="252" w:lineRule="auto"/>
              <w:jc w:val="center"/>
              <w:rPr>
                <w:rFonts w:asciiTheme="majorBidi" w:hAnsiTheme="majorBidi" w:cstheme="majorBidi"/>
                <w:sz w:val="20"/>
                <w:szCs w:val="20"/>
              </w:rPr>
            </w:pPr>
          </w:p>
        </w:tc>
      </w:tr>
    </w:tbl>
    <w:p w14:paraId="131BD7D4" w14:textId="77777777" w:rsidR="00DB4C04" w:rsidRPr="00E0443D" w:rsidRDefault="00DB4C04" w:rsidP="00BA14A2">
      <w:pPr>
        <w:spacing w:after="0" w:line="252" w:lineRule="auto"/>
        <w:jc w:val="both"/>
        <w:rPr>
          <w:rFonts w:asciiTheme="majorBidi" w:hAnsiTheme="majorBidi" w:cstheme="majorBidi"/>
          <w:sz w:val="20"/>
          <w:szCs w:val="20"/>
        </w:rPr>
      </w:pPr>
    </w:p>
    <w:p w14:paraId="5A567953" w14:textId="77777777" w:rsidR="00524CDD" w:rsidRPr="00E0443D" w:rsidRDefault="00524CDD" w:rsidP="00BA14A2">
      <w:pPr>
        <w:spacing w:after="0" w:line="252" w:lineRule="auto"/>
        <w:jc w:val="both"/>
        <w:rPr>
          <w:rFonts w:asciiTheme="majorBidi" w:hAnsiTheme="majorBidi" w:cstheme="majorBidi"/>
          <w:b/>
          <w:bCs/>
          <w:sz w:val="20"/>
          <w:szCs w:val="20"/>
        </w:rPr>
        <w:sectPr w:rsidR="00524CDD" w:rsidRPr="00E0443D" w:rsidSect="009F0C04">
          <w:type w:val="continuous"/>
          <w:pgSz w:w="11906" w:h="16838" w:code="9"/>
          <w:pgMar w:top="1701" w:right="1701" w:bottom="1701" w:left="1701" w:header="720" w:footer="720" w:gutter="0"/>
          <w:cols w:space="720"/>
          <w:titlePg/>
          <w:docGrid w:linePitch="360"/>
        </w:sectPr>
      </w:pPr>
    </w:p>
    <w:p w14:paraId="2E33A9BF" w14:textId="355D60C7" w:rsidR="00A018AD" w:rsidRPr="00A23055" w:rsidRDefault="00A018AD" w:rsidP="00BA14A2">
      <w:pPr>
        <w:spacing w:after="0" w:line="252" w:lineRule="auto"/>
        <w:jc w:val="both"/>
        <w:rPr>
          <w:rFonts w:asciiTheme="majorBidi" w:hAnsiTheme="majorBidi" w:cstheme="majorBidi"/>
          <w:b/>
          <w:bCs/>
          <w:sz w:val="24"/>
          <w:szCs w:val="24"/>
        </w:rPr>
      </w:pPr>
      <w:r w:rsidRPr="00A23055">
        <w:rPr>
          <w:rFonts w:asciiTheme="majorBidi" w:hAnsiTheme="majorBidi" w:cstheme="majorBidi"/>
          <w:b/>
          <w:bCs/>
          <w:sz w:val="24"/>
          <w:szCs w:val="24"/>
        </w:rPr>
        <w:t>2. Thyroid function test</w:t>
      </w:r>
    </w:p>
    <w:p w14:paraId="4191DB03" w14:textId="66C2E2D4" w:rsidR="00524CDD" w:rsidRDefault="00A018AD" w:rsidP="00FC7157">
      <w:pPr>
        <w:spacing w:after="0" w:line="252" w:lineRule="auto"/>
        <w:ind w:firstLine="426"/>
        <w:jc w:val="both"/>
        <w:rPr>
          <w:rFonts w:asciiTheme="majorBidi" w:hAnsiTheme="majorBidi" w:cstheme="majorBidi"/>
          <w:sz w:val="24"/>
          <w:szCs w:val="24"/>
        </w:rPr>
      </w:pPr>
      <w:r w:rsidRPr="007C06A3">
        <w:rPr>
          <w:rFonts w:asciiTheme="majorBidi" w:hAnsiTheme="majorBidi" w:cstheme="majorBidi"/>
          <w:sz w:val="24"/>
          <w:szCs w:val="24"/>
        </w:rPr>
        <w:t>Biochemical analysis of thyroid hormones</w:t>
      </w:r>
      <w:r w:rsidR="00145042" w:rsidRPr="007C06A3">
        <w:rPr>
          <w:rFonts w:asciiTheme="majorBidi" w:hAnsiTheme="majorBidi" w:cstheme="majorBidi"/>
          <w:sz w:val="24"/>
          <w:szCs w:val="24"/>
        </w:rPr>
        <w:t xml:space="preserve"> (Table3)</w:t>
      </w:r>
      <w:r w:rsidRPr="007C06A3">
        <w:rPr>
          <w:rFonts w:asciiTheme="majorBidi" w:hAnsiTheme="majorBidi" w:cstheme="majorBidi"/>
          <w:sz w:val="24"/>
          <w:szCs w:val="24"/>
        </w:rPr>
        <w:t xml:space="preserve"> indicated no significant differences in </w:t>
      </w:r>
      <w:r w:rsidR="00FC7157" w:rsidRPr="00FC7157">
        <w:rPr>
          <w:rFonts w:asciiTheme="majorBidi" w:hAnsiTheme="majorBidi" w:cstheme="majorBidi"/>
          <w:sz w:val="24"/>
          <w:szCs w:val="24"/>
        </w:rPr>
        <w:t>T4</w:t>
      </w:r>
      <w:r w:rsidRPr="007C06A3">
        <w:rPr>
          <w:rFonts w:asciiTheme="majorBidi" w:hAnsiTheme="majorBidi" w:cstheme="majorBidi"/>
          <w:sz w:val="24"/>
          <w:szCs w:val="24"/>
        </w:rPr>
        <w:t xml:space="preserve"> (p = 0.1) and </w:t>
      </w:r>
      <w:r w:rsidR="00FC7157" w:rsidRPr="00FC7157">
        <w:rPr>
          <w:rFonts w:asciiTheme="majorBidi" w:hAnsiTheme="majorBidi" w:cstheme="majorBidi"/>
          <w:sz w:val="24"/>
          <w:szCs w:val="24"/>
        </w:rPr>
        <w:t xml:space="preserve">T3 </w:t>
      </w:r>
      <w:r w:rsidRPr="007C06A3">
        <w:rPr>
          <w:rFonts w:asciiTheme="majorBidi" w:hAnsiTheme="majorBidi" w:cstheme="majorBidi"/>
          <w:sz w:val="24"/>
          <w:szCs w:val="24"/>
        </w:rPr>
        <w:t xml:space="preserve">(p = 0.3) levels between patients </w:t>
      </w:r>
      <w:r w:rsidRPr="00A23055">
        <w:rPr>
          <w:rFonts w:asciiTheme="majorBidi" w:hAnsiTheme="majorBidi" w:cstheme="majorBidi"/>
          <w:sz w:val="24"/>
          <w:szCs w:val="24"/>
        </w:rPr>
        <w:t xml:space="preserve">and healthy individuals. In contrast, </w:t>
      </w:r>
      <w:r w:rsidRPr="00A23055">
        <w:rPr>
          <w:rFonts w:asciiTheme="majorBidi" w:hAnsiTheme="majorBidi" w:cstheme="majorBidi"/>
          <w:sz w:val="24"/>
          <w:szCs w:val="24"/>
        </w:rPr>
        <w:t>TSH levels were significantly elevated in patients compared to healthy controls (p = 0.001). The mean TSH level was 5.66 ± 0.66 in patients and 2.08 ± 0.17 in healthy individuals.</w:t>
      </w:r>
    </w:p>
    <w:p w14:paraId="02D9A28F" w14:textId="77777777" w:rsidR="00524CDD" w:rsidRDefault="00524CDD" w:rsidP="00D91CC2">
      <w:pPr>
        <w:spacing w:after="0" w:line="252" w:lineRule="auto"/>
        <w:jc w:val="both"/>
        <w:rPr>
          <w:rFonts w:asciiTheme="majorBidi" w:hAnsiTheme="majorBidi" w:cstheme="majorBidi"/>
          <w:sz w:val="24"/>
          <w:szCs w:val="24"/>
        </w:rPr>
        <w:sectPr w:rsidR="00524CDD" w:rsidSect="00524CDD">
          <w:type w:val="continuous"/>
          <w:pgSz w:w="11906" w:h="16838" w:code="9"/>
          <w:pgMar w:top="1701" w:right="1701" w:bottom="1701" w:left="1701" w:header="720" w:footer="720" w:gutter="0"/>
          <w:cols w:num="2" w:space="720"/>
          <w:titlePg/>
          <w:docGrid w:linePitch="360"/>
        </w:sectPr>
      </w:pPr>
    </w:p>
    <w:p w14:paraId="55FC935C" w14:textId="77777777" w:rsidR="00D91CC2" w:rsidRDefault="00D91CC2" w:rsidP="00D91CC2">
      <w:pPr>
        <w:spacing w:after="0" w:line="252" w:lineRule="auto"/>
        <w:jc w:val="center"/>
        <w:rPr>
          <w:rFonts w:asciiTheme="majorBidi" w:eastAsia="Calibri" w:hAnsiTheme="majorBidi" w:cstheme="majorBidi"/>
          <w:b/>
          <w:bCs/>
          <w:sz w:val="20"/>
          <w:szCs w:val="20"/>
        </w:rPr>
      </w:pPr>
    </w:p>
    <w:p w14:paraId="2E88E2A0" w14:textId="77777777" w:rsidR="00FC7157" w:rsidRDefault="00FC7157" w:rsidP="00E56D9F">
      <w:pPr>
        <w:spacing w:after="0" w:line="252" w:lineRule="auto"/>
        <w:jc w:val="center"/>
        <w:rPr>
          <w:rFonts w:asciiTheme="majorBidi" w:eastAsia="Calibri" w:hAnsiTheme="majorBidi" w:cstheme="majorBidi"/>
          <w:b/>
          <w:bCs/>
          <w:color w:val="000000" w:themeColor="text1"/>
          <w:sz w:val="20"/>
          <w:szCs w:val="20"/>
        </w:rPr>
      </w:pPr>
    </w:p>
    <w:p w14:paraId="20EA3A55" w14:textId="27421E15" w:rsidR="00A018AD" w:rsidRPr="00FC7157" w:rsidRDefault="00A018AD" w:rsidP="00E56D9F">
      <w:pPr>
        <w:spacing w:after="0" w:line="252" w:lineRule="auto"/>
        <w:jc w:val="center"/>
        <w:rPr>
          <w:rFonts w:asciiTheme="majorBidi" w:eastAsia="Calibri" w:hAnsiTheme="majorBidi" w:cstheme="majorBidi"/>
          <w:b/>
          <w:bCs/>
          <w:color w:val="000000" w:themeColor="text1"/>
          <w:sz w:val="20"/>
          <w:szCs w:val="20"/>
        </w:rPr>
      </w:pPr>
      <w:r w:rsidRPr="00FC7157">
        <w:rPr>
          <w:rFonts w:asciiTheme="majorBidi" w:eastAsia="Calibri" w:hAnsiTheme="majorBidi" w:cstheme="majorBidi"/>
          <w:b/>
          <w:bCs/>
          <w:color w:val="000000" w:themeColor="text1"/>
          <w:sz w:val="20"/>
          <w:szCs w:val="20"/>
        </w:rPr>
        <w:lastRenderedPageBreak/>
        <w:t>Table</w:t>
      </w:r>
      <w:r w:rsidR="004C7BD9" w:rsidRPr="00FC7157">
        <w:rPr>
          <w:rFonts w:asciiTheme="majorBidi" w:eastAsia="Calibri" w:hAnsiTheme="majorBidi" w:cstheme="majorBidi"/>
          <w:b/>
          <w:bCs/>
          <w:color w:val="000000" w:themeColor="text1"/>
          <w:sz w:val="20"/>
          <w:szCs w:val="20"/>
        </w:rPr>
        <w:t xml:space="preserve"> </w:t>
      </w:r>
      <w:r w:rsidR="007C06A3" w:rsidRPr="00FC7157">
        <w:rPr>
          <w:rFonts w:asciiTheme="majorBidi" w:eastAsia="Calibri" w:hAnsiTheme="majorBidi" w:cstheme="majorBidi"/>
          <w:b/>
          <w:bCs/>
          <w:color w:val="000000" w:themeColor="text1"/>
          <w:sz w:val="20"/>
          <w:szCs w:val="20"/>
        </w:rPr>
        <w:t>(</w:t>
      </w:r>
      <w:r w:rsidRPr="00FC7157">
        <w:rPr>
          <w:rFonts w:asciiTheme="majorBidi" w:eastAsia="Calibri" w:hAnsiTheme="majorBidi" w:cstheme="majorBidi"/>
          <w:b/>
          <w:bCs/>
          <w:color w:val="000000" w:themeColor="text1"/>
          <w:sz w:val="20"/>
          <w:szCs w:val="20"/>
        </w:rPr>
        <w:t>3</w:t>
      </w:r>
      <w:r w:rsidR="007C06A3" w:rsidRPr="00FC7157">
        <w:rPr>
          <w:rFonts w:asciiTheme="majorBidi" w:eastAsia="Calibri" w:hAnsiTheme="majorBidi" w:cstheme="majorBidi"/>
          <w:b/>
          <w:bCs/>
          <w:color w:val="000000" w:themeColor="text1"/>
          <w:sz w:val="20"/>
          <w:szCs w:val="20"/>
        </w:rPr>
        <w:t>)</w:t>
      </w:r>
      <w:r w:rsidRPr="00FC7157">
        <w:rPr>
          <w:rFonts w:asciiTheme="majorBidi" w:eastAsia="Calibri" w:hAnsiTheme="majorBidi" w:cstheme="majorBidi"/>
          <w:b/>
          <w:bCs/>
          <w:color w:val="000000" w:themeColor="text1"/>
          <w:sz w:val="20"/>
          <w:szCs w:val="20"/>
        </w:rPr>
        <w:t xml:space="preserve">: </w:t>
      </w:r>
      <w:r w:rsidR="00E56D9F" w:rsidRPr="00FC7157">
        <w:rPr>
          <w:rFonts w:asciiTheme="majorBidi" w:eastAsia="Calibri" w:hAnsiTheme="majorBidi" w:cstheme="majorBidi"/>
          <w:b/>
          <w:bCs/>
          <w:color w:val="000000" w:themeColor="text1"/>
          <w:sz w:val="20"/>
          <w:szCs w:val="20"/>
        </w:rPr>
        <w:t>Serum</w:t>
      </w:r>
      <w:r w:rsidRPr="00FC7157">
        <w:rPr>
          <w:rFonts w:asciiTheme="majorBidi" w:eastAsia="Calibri" w:hAnsiTheme="majorBidi" w:cstheme="majorBidi"/>
          <w:b/>
          <w:bCs/>
          <w:color w:val="000000" w:themeColor="text1"/>
          <w:sz w:val="20"/>
          <w:szCs w:val="20"/>
        </w:rPr>
        <w:t xml:space="preserve"> T</w:t>
      </w:r>
      <w:r w:rsidR="00E56D9F" w:rsidRPr="00FC7157">
        <w:rPr>
          <w:rFonts w:asciiTheme="majorBidi" w:eastAsia="Calibri" w:hAnsiTheme="majorBidi" w:cstheme="majorBidi"/>
          <w:b/>
          <w:bCs/>
          <w:color w:val="000000" w:themeColor="text1"/>
          <w:sz w:val="20"/>
          <w:szCs w:val="20"/>
        </w:rPr>
        <w:t>3</w:t>
      </w:r>
      <w:r w:rsidRPr="00FC7157">
        <w:rPr>
          <w:rFonts w:asciiTheme="majorBidi" w:eastAsia="Calibri" w:hAnsiTheme="majorBidi" w:cstheme="majorBidi"/>
          <w:b/>
          <w:bCs/>
          <w:color w:val="000000" w:themeColor="text1"/>
          <w:sz w:val="20"/>
          <w:szCs w:val="20"/>
        </w:rPr>
        <w:t>, T</w:t>
      </w:r>
      <w:r w:rsidR="00E56D9F" w:rsidRPr="00FC7157">
        <w:rPr>
          <w:rFonts w:asciiTheme="majorBidi" w:eastAsia="Calibri" w:hAnsiTheme="majorBidi" w:cstheme="majorBidi"/>
          <w:b/>
          <w:bCs/>
          <w:color w:val="000000" w:themeColor="text1"/>
          <w:sz w:val="20"/>
          <w:szCs w:val="20"/>
        </w:rPr>
        <w:t>4</w:t>
      </w:r>
      <w:r w:rsidRPr="00FC7157">
        <w:rPr>
          <w:rFonts w:asciiTheme="majorBidi" w:eastAsia="Calibri" w:hAnsiTheme="majorBidi" w:cstheme="majorBidi"/>
          <w:b/>
          <w:bCs/>
          <w:color w:val="000000" w:themeColor="text1"/>
          <w:sz w:val="20"/>
          <w:szCs w:val="20"/>
        </w:rPr>
        <w:t>, and TSH</w:t>
      </w:r>
      <w:r w:rsidR="00E56D9F" w:rsidRPr="00FC7157">
        <w:rPr>
          <w:rFonts w:asciiTheme="majorBidi" w:eastAsia="Calibri" w:hAnsiTheme="majorBidi" w:cstheme="majorBidi"/>
          <w:b/>
          <w:bCs/>
          <w:color w:val="000000" w:themeColor="text1"/>
          <w:sz w:val="20"/>
          <w:szCs w:val="20"/>
        </w:rPr>
        <w:t xml:space="preserve"> among studied groups</w:t>
      </w:r>
      <w:r w:rsidRPr="00FC7157">
        <w:rPr>
          <w:rFonts w:asciiTheme="majorBidi" w:eastAsia="Calibri" w:hAnsiTheme="majorBidi" w:cstheme="majorBidi"/>
          <w:b/>
          <w:bCs/>
          <w:color w:val="000000" w:themeColor="text1"/>
          <w:sz w:val="20"/>
          <w:szCs w:val="20"/>
        </w:rPr>
        <w:t>.</w:t>
      </w:r>
    </w:p>
    <w:tbl>
      <w:tblPr>
        <w:tblStyle w:val="TableGrid"/>
        <w:tblW w:w="8118" w:type="dxa"/>
        <w:jc w:val="center"/>
        <w:tblLayout w:type="fixed"/>
        <w:tblLook w:val="0000" w:firstRow="0" w:lastRow="0" w:firstColumn="0" w:lastColumn="0" w:noHBand="0" w:noVBand="0"/>
      </w:tblPr>
      <w:tblGrid>
        <w:gridCol w:w="1818"/>
        <w:gridCol w:w="2070"/>
        <w:gridCol w:w="2160"/>
        <w:gridCol w:w="2070"/>
      </w:tblGrid>
      <w:tr w:rsidR="00A018AD" w:rsidRPr="007C06A3" w14:paraId="6A3BBD6C" w14:textId="77777777" w:rsidTr="007C06A3">
        <w:trPr>
          <w:trHeight w:val="20"/>
          <w:jc w:val="center"/>
        </w:trPr>
        <w:tc>
          <w:tcPr>
            <w:tcW w:w="1818" w:type="dxa"/>
            <w:vMerge w:val="restart"/>
            <w:shd w:val="clear" w:color="auto" w:fill="D9D9D9" w:themeFill="background1" w:themeFillShade="D9"/>
            <w:vAlign w:val="center"/>
          </w:tcPr>
          <w:p w14:paraId="54CC9948" w14:textId="77777777" w:rsidR="00A018AD" w:rsidRPr="007C06A3" w:rsidRDefault="00A018AD" w:rsidP="00BA14A2">
            <w:pPr>
              <w:autoSpaceDE w:val="0"/>
              <w:autoSpaceDN w:val="0"/>
              <w:adjustRightInd w:val="0"/>
              <w:spacing w:line="252" w:lineRule="auto"/>
              <w:jc w:val="center"/>
              <w:rPr>
                <w:rFonts w:asciiTheme="majorBidi" w:hAnsiTheme="majorBidi" w:cstheme="majorBidi"/>
                <w:sz w:val="20"/>
                <w:szCs w:val="20"/>
              </w:rPr>
            </w:pPr>
            <w:r w:rsidRPr="007C06A3">
              <w:rPr>
                <w:rFonts w:asciiTheme="majorBidi" w:hAnsiTheme="majorBidi" w:cstheme="majorBidi"/>
                <w:b/>
                <w:bCs/>
                <w:sz w:val="20"/>
                <w:szCs w:val="20"/>
              </w:rPr>
              <w:t>Groups</w:t>
            </w:r>
          </w:p>
        </w:tc>
        <w:tc>
          <w:tcPr>
            <w:tcW w:w="4230" w:type="dxa"/>
            <w:gridSpan w:val="2"/>
            <w:shd w:val="clear" w:color="auto" w:fill="D9D9D9" w:themeFill="background1" w:themeFillShade="D9"/>
            <w:vAlign w:val="center"/>
          </w:tcPr>
          <w:p w14:paraId="48214728" w14:textId="77777777" w:rsidR="00A018AD" w:rsidRPr="007C06A3" w:rsidRDefault="00A018AD" w:rsidP="00BA14A2">
            <w:pPr>
              <w:autoSpaceDE w:val="0"/>
              <w:autoSpaceDN w:val="0"/>
              <w:adjustRightInd w:val="0"/>
              <w:spacing w:line="252" w:lineRule="auto"/>
              <w:jc w:val="center"/>
              <w:rPr>
                <w:rFonts w:asciiTheme="majorBidi" w:hAnsiTheme="majorBidi" w:cstheme="majorBidi"/>
                <w:b/>
                <w:bCs/>
                <w:sz w:val="20"/>
                <w:szCs w:val="20"/>
              </w:rPr>
            </w:pPr>
            <w:r w:rsidRPr="007C06A3">
              <w:rPr>
                <w:rFonts w:asciiTheme="majorBidi" w:hAnsiTheme="majorBidi" w:cstheme="majorBidi"/>
                <w:b/>
                <w:bCs/>
                <w:sz w:val="20"/>
                <w:szCs w:val="20"/>
              </w:rPr>
              <w:t>Mean ± SE</w:t>
            </w:r>
          </w:p>
        </w:tc>
        <w:tc>
          <w:tcPr>
            <w:tcW w:w="2070" w:type="dxa"/>
            <w:vMerge w:val="restart"/>
            <w:shd w:val="clear" w:color="auto" w:fill="D9D9D9" w:themeFill="background1" w:themeFillShade="D9"/>
            <w:vAlign w:val="center"/>
          </w:tcPr>
          <w:p w14:paraId="3FB3A7DE" w14:textId="77777777" w:rsidR="00A018AD" w:rsidRPr="007C06A3" w:rsidRDefault="00A018AD" w:rsidP="00BA14A2">
            <w:pPr>
              <w:autoSpaceDE w:val="0"/>
              <w:autoSpaceDN w:val="0"/>
              <w:adjustRightInd w:val="0"/>
              <w:spacing w:line="252" w:lineRule="auto"/>
              <w:jc w:val="center"/>
              <w:rPr>
                <w:rFonts w:asciiTheme="majorBidi" w:hAnsiTheme="majorBidi" w:cstheme="majorBidi"/>
                <w:b/>
                <w:bCs/>
                <w:sz w:val="20"/>
                <w:szCs w:val="20"/>
              </w:rPr>
            </w:pPr>
            <w:r w:rsidRPr="007C06A3">
              <w:rPr>
                <w:rFonts w:asciiTheme="majorBidi" w:hAnsiTheme="majorBidi" w:cstheme="majorBidi"/>
                <w:b/>
                <w:bCs/>
                <w:sz w:val="20"/>
                <w:szCs w:val="20"/>
              </w:rPr>
              <w:t>P-value</w:t>
            </w:r>
          </w:p>
        </w:tc>
      </w:tr>
      <w:tr w:rsidR="00A018AD" w:rsidRPr="007C06A3" w14:paraId="465335F1" w14:textId="77777777" w:rsidTr="007C06A3">
        <w:trPr>
          <w:trHeight w:val="70"/>
          <w:jc w:val="center"/>
        </w:trPr>
        <w:tc>
          <w:tcPr>
            <w:tcW w:w="1818" w:type="dxa"/>
            <w:vMerge/>
            <w:shd w:val="clear" w:color="auto" w:fill="D9D9D9" w:themeFill="background1" w:themeFillShade="D9"/>
            <w:vAlign w:val="center"/>
          </w:tcPr>
          <w:p w14:paraId="10DEC6E8" w14:textId="77777777" w:rsidR="00A018AD" w:rsidRPr="007C06A3" w:rsidRDefault="00A018AD" w:rsidP="00BA14A2">
            <w:pPr>
              <w:autoSpaceDE w:val="0"/>
              <w:autoSpaceDN w:val="0"/>
              <w:adjustRightInd w:val="0"/>
              <w:spacing w:line="252" w:lineRule="auto"/>
              <w:jc w:val="center"/>
              <w:rPr>
                <w:rFonts w:asciiTheme="majorBidi" w:hAnsiTheme="majorBidi" w:cstheme="majorBidi"/>
                <w:b/>
                <w:bCs/>
                <w:sz w:val="20"/>
                <w:szCs w:val="20"/>
              </w:rPr>
            </w:pPr>
          </w:p>
        </w:tc>
        <w:tc>
          <w:tcPr>
            <w:tcW w:w="2070" w:type="dxa"/>
            <w:shd w:val="clear" w:color="auto" w:fill="D9D9D9" w:themeFill="background1" w:themeFillShade="D9"/>
            <w:vAlign w:val="center"/>
          </w:tcPr>
          <w:p w14:paraId="4D81709F" w14:textId="77777777" w:rsidR="00A018AD" w:rsidRPr="007C06A3" w:rsidRDefault="00A018AD" w:rsidP="00BA14A2">
            <w:pPr>
              <w:autoSpaceDE w:val="0"/>
              <w:autoSpaceDN w:val="0"/>
              <w:adjustRightInd w:val="0"/>
              <w:spacing w:line="252" w:lineRule="auto"/>
              <w:jc w:val="center"/>
              <w:rPr>
                <w:rFonts w:asciiTheme="majorBidi" w:hAnsiTheme="majorBidi" w:cstheme="majorBidi"/>
                <w:b/>
                <w:bCs/>
                <w:sz w:val="20"/>
                <w:szCs w:val="20"/>
              </w:rPr>
            </w:pPr>
            <w:r w:rsidRPr="007C06A3">
              <w:rPr>
                <w:rFonts w:asciiTheme="majorBidi" w:hAnsiTheme="majorBidi" w:cstheme="majorBidi"/>
                <w:b/>
                <w:bCs/>
                <w:sz w:val="20"/>
                <w:szCs w:val="20"/>
              </w:rPr>
              <w:t>Patients</w:t>
            </w:r>
          </w:p>
        </w:tc>
        <w:tc>
          <w:tcPr>
            <w:tcW w:w="2160" w:type="dxa"/>
            <w:shd w:val="clear" w:color="auto" w:fill="D9D9D9" w:themeFill="background1" w:themeFillShade="D9"/>
            <w:vAlign w:val="center"/>
          </w:tcPr>
          <w:p w14:paraId="79CA6265" w14:textId="77777777" w:rsidR="00A018AD" w:rsidRPr="007C06A3" w:rsidRDefault="00A018AD" w:rsidP="00BA14A2">
            <w:pPr>
              <w:autoSpaceDE w:val="0"/>
              <w:autoSpaceDN w:val="0"/>
              <w:adjustRightInd w:val="0"/>
              <w:spacing w:line="252" w:lineRule="auto"/>
              <w:jc w:val="center"/>
              <w:rPr>
                <w:rFonts w:asciiTheme="majorBidi" w:hAnsiTheme="majorBidi" w:cstheme="majorBidi"/>
                <w:b/>
                <w:bCs/>
                <w:sz w:val="20"/>
                <w:szCs w:val="20"/>
              </w:rPr>
            </w:pPr>
            <w:r w:rsidRPr="007C06A3">
              <w:rPr>
                <w:rFonts w:asciiTheme="majorBidi" w:hAnsiTheme="majorBidi" w:cstheme="majorBidi"/>
                <w:b/>
                <w:bCs/>
                <w:sz w:val="20"/>
                <w:szCs w:val="20"/>
              </w:rPr>
              <w:t>Control</w:t>
            </w:r>
          </w:p>
        </w:tc>
        <w:tc>
          <w:tcPr>
            <w:tcW w:w="2070" w:type="dxa"/>
            <w:vMerge/>
            <w:shd w:val="clear" w:color="auto" w:fill="D9D9D9" w:themeFill="background1" w:themeFillShade="D9"/>
            <w:vAlign w:val="center"/>
          </w:tcPr>
          <w:p w14:paraId="642DA657" w14:textId="77777777" w:rsidR="00A018AD" w:rsidRPr="007C06A3" w:rsidRDefault="00A018AD" w:rsidP="00BA14A2">
            <w:pPr>
              <w:autoSpaceDE w:val="0"/>
              <w:autoSpaceDN w:val="0"/>
              <w:adjustRightInd w:val="0"/>
              <w:spacing w:line="252" w:lineRule="auto"/>
              <w:jc w:val="center"/>
              <w:rPr>
                <w:rFonts w:asciiTheme="majorBidi" w:hAnsiTheme="majorBidi" w:cstheme="majorBidi"/>
                <w:b/>
                <w:bCs/>
                <w:sz w:val="20"/>
                <w:szCs w:val="20"/>
              </w:rPr>
            </w:pPr>
          </w:p>
        </w:tc>
      </w:tr>
      <w:tr w:rsidR="00A018AD" w:rsidRPr="007C06A3" w14:paraId="17DECE04" w14:textId="77777777" w:rsidTr="007C06A3">
        <w:trPr>
          <w:trHeight w:val="20"/>
          <w:jc w:val="center"/>
        </w:trPr>
        <w:tc>
          <w:tcPr>
            <w:tcW w:w="1818" w:type="dxa"/>
            <w:shd w:val="clear" w:color="auto" w:fill="D9D9D9" w:themeFill="background1" w:themeFillShade="D9"/>
            <w:vAlign w:val="center"/>
          </w:tcPr>
          <w:p w14:paraId="01492C55" w14:textId="20E0F064" w:rsidR="00A018AD" w:rsidRPr="007C06A3" w:rsidRDefault="00A018AD" w:rsidP="00BA14A2">
            <w:pPr>
              <w:autoSpaceDE w:val="0"/>
              <w:autoSpaceDN w:val="0"/>
              <w:adjustRightInd w:val="0"/>
              <w:spacing w:line="252" w:lineRule="auto"/>
              <w:jc w:val="center"/>
              <w:rPr>
                <w:rFonts w:asciiTheme="majorBidi" w:hAnsiTheme="majorBidi" w:cstheme="majorBidi"/>
                <w:b/>
                <w:bCs/>
                <w:sz w:val="20"/>
                <w:szCs w:val="20"/>
              </w:rPr>
            </w:pPr>
            <w:r w:rsidRPr="007C06A3">
              <w:rPr>
                <w:rFonts w:asciiTheme="majorBidi" w:hAnsiTheme="majorBidi" w:cstheme="majorBidi"/>
                <w:b/>
                <w:bCs/>
                <w:sz w:val="20"/>
                <w:szCs w:val="20"/>
              </w:rPr>
              <w:t>T</w:t>
            </w:r>
            <w:r w:rsidR="00FC7157">
              <w:rPr>
                <w:rFonts w:asciiTheme="majorBidi" w:hAnsiTheme="majorBidi" w:cstheme="majorBidi"/>
                <w:b/>
                <w:bCs/>
                <w:sz w:val="20"/>
                <w:szCs w:val="20"/>
              </w:rPr>
              <w:t>4</w:t>
            </w:r>
          </w:p>
        </w:tc>
        <w:tc>
          <w:tcPr>
            <w:tcW w:w="2070" w:type="dxa"/>
            <w:vAlign w:val="center"/>
          </w:tcPr>
          <w:p w14:paraId="6F365AD2" w14:textId="77777777" w:rsidR="00A018AD" w:rsidRPr="007C06A3" w:rsidRDefault="00A018AD" w:rsidP="00BA14A2">
            <w:pPr>
              <w:spacing w:line="252" w:lineRule="auto"/>
              <w:jc w:val="center"/>
              <w:rPr>
                <w:rFonts w:asciiTheme="majorBidi" w:hAnsiTheme="majorBidi" w:cstheme="majorBidi"/>
                <w:sz w:val="20"/>
                <w:szCs w:val="20"/>
              </w:rPr>
            </w:pPr>
            <w:r w:rsidRPr="007C06A3">
              <w:rPr>
                <w:rFonts w:asciiTheme="majorBidi" w:hAnsiTheme="majorBidi" w:cstheme="majorBidi"/>
                <w:sz w:val="20"/>
                <w:szCs w:val="20"/>
              </w:rPr>
              <w:t>73.55 ± 5.82</w:t>
            </w:r>
          </w:p>
        </w:tc>
        <w:tc>
          <w:tcPr>
            <w:tcW w:w="2160" w:type="dxa"/>
            <w:vAlign w:val="center"/>
          </w:tcPr>
          <w:p w14:paraId="13470EFF" w14:textId="77777777" w:rsidR="00A018AD" w:rsidRPr="007C06A3" w:rsidRDefault="00A018AD" w:rsidP="00BA14A2">
            <w:pPr>
              <w:spacing w:line="252" w:lineRule="auto"/>
              <w:jc w:val="center"/>
              <w:rPr>
                <w:rFonts w:asciiTheme="majorBidi" w:hAnsiTheme="majorBidi" w:cstheme="majorBidi"/>
                <w:sz w:val="20"/>
                <w:szCs w:val="20"/>
              </w:rPr>
            </w:pPr>
            <w:r w:rsidRPr="007C06A3">
              <w:rPr>
                <w:rFonts w:asciiTheme="majorBidi" w:hAnsiTheme="majorBidi" w:cstheme="majorBidi"/>
                <w:sz w:val="20"/>
                <w:szCs w:val="20"/>
              </w:rPr>
              <w:t>61.63 ± 5.36</w:t>
            </w:r>
          </w:p>
        </w:tc>
        <w:tc>
          <w:tcPr>
            <w:tcW w:w="2070" w:type="dxa"/>
            <w:vAlign w:val="center"/>
          </w:tcPr>
          <w:p w14:paraId="28171073" w14:textId="77777777" w:rsidR="00A018AD" w:rsidRPr="007C06A3" w:rsidRDefault="00A018AD" w:rsidP="00BA14A2">
            <w:pPr>
              <w:autoSpaceDE w:val="0"/>
              <w:autoSpaceDN w:val="0"/>
              <w:adjustRightInd w:val="0"/>
              <w:spacing w:line="252" w:lineRule="auto"/>
              <w:jc w:val="center"/>
              <w:rPr>
                <w:rFonts w:asciiTheme="majorBidi" w:hAnsiTheme="majorBidi" w:cstheme="majorBidi"/>
                <w:sz w:val="20"/>
                <w:szCs w:val="20"/>
              </w:rPr>
            </w:pPr>
            <w:r w:rsidRPr="007C06A3">
              <w:rPr>
                <w:rFonts w:asciiTheme="majorBidi" w:hAnsiTheme="majorBidi" w:cstheme="majorBidi"/>
                <w:sz w:val="20"/>
                <w:szCs w:val="20"/>
              </w:rPr>
              <w:t>0.1 NS</w:t>
            </w:r>
          </w:p>
        </w:tc>
      </w:tr>
      <w:tr w:rsidR="00A018AD" w:rsidRPr="007C06A3" w14:paraId="40E63CC0" w14:textId="77777777" w:rsidTr="007C06A3">
        <w:trPr>
          <w:trHeight w:val="20"/>
          <w:jc w:val="center"/>
        </w:trPr>
        <w:tc>
          <w:tcPr>
            <w:tcW w:w="1818" w:type="dxa"/>
            <w:shd w:val="clear" w:color="auto" w:fill="D9D9D9" w:themeFill="background1" w:themeFillShade="D9"/>
            <w:vAlign w:val="center"/>
          </w:tcPr>
          <w:p w14:paraId="599238CF" w14:textId="02095320" w:rsidR="00A018AD" w:rsidRPr="007C06A3" w:rsidRDefault="00A018AD" w:rsidP="00BA14A2">
            <w:pPr>
              <w:autoSpaceDE w:val="0"/>
              <w:autoSpaceDN w:val="0"/>
              <w:adjustRightInd w:val="0"/>
              <w:spacing w:line="252" w:lineRule="auto"/>
              <w:jc w:val="center"/>
              <w:rPr>
                <w:rFonts w:asciiTheme="majorBidi" w:hAnsiTheme="majorBidi" w:cstheme="majorBidi"/>
                <w:b/>
                <w:bCs/>
                <w:sz w:val="20"/>
                <w:szCs w:val="20"/>
              </w:rPr>
            </w:pPr>
            <w:r w:rsidRPr="007C06A3">
              <w:rPr>
                <w:rFonts w:asciiTheme="majorBidi" w:hAnsiTheme="majorBidi" w:cstheme="majorBidi"/>
                <w:b/>
                <w:bCs/>
                <w:sz w:val="20"/>
                <w:szCs w:val="20"/>
              </w:rPr>
              <w:t>T</w:t>
            </w:r>
            <w:r w:rsidR="00FC7157">
              <w:rPr>
                <w:rFonts w:asciiTheme="majorBidi" w:hAnsiTheme="majorBidi" w:cstheme="majorBidi"/>
                <w:b/>
                <w:bCs/>
                <w:sz w:val="20"/>
                <w:szCs w:val="20"/>
              </w:rPr>
              <w:t>3</w:t>
            </w:r>
          </w:p>
        </w:tc>
        <w:tc>
          <w:tcPr>
            <w:tcW w:w="2070" w:type="dxa"/>
            <w:vAlign w:val="center"/>
          </w:tcPr>
          <w:p w14:paraId="599A305E" w14:textId="77777777" w:rsidR="00A018AD" w:rsidRPr="007C06A3" w:rsidRDefault="00A018AD" w:rsidP="00BA14A2">
            <w:pPr>
              <w:spacing w:line="252" w:lineRule="auto"/>
              <w:jc w:val="center"/>
              <w:rPr>
                <w:rFonts w:asciiTheme="majorBidi" w:hAnsiTheme="majorBidi" w:cstheme="majorBidi"/>
                <w:sz w:val="20"/>
                <w:szCs w:val="20"/>
              </w:rPr>
            </w:pPr>
            <w:r w:rsidRPr="007C06A3">
              <w:rPr>
                <w:rFonts w:asciiTheme="majorBidi" w:hAnsiTheme="majorBidi" w:cstheme="majorBidi"/>
                <w:sz w:val="20"/>
                <w:szCs w:val="20"/>
              </w:rPr>
              <w:t>1.85 ± 0.20</w:t>
            </w:r>
          </w:p>
        </w:tc>
        <w:tc>
          <w:tcPr>
            <w:tcW w:w="2160" w:type="dxa"/>
            <w:vAlign w:val="center"/>
          </w:tcPr>
          <w:p w14:paraId="0B3E77D1" w14:textId="77777777" w:rsidR="00A018AD" w:rsidRPr="007C06A3" w:rsidRDefault="00A018AD" w:rsidP="00BA14A2">
            <w:pPr>
              <w:spacing w:line="252" w:lineRule="auto"/>
              <w:jc w:val="center"/>
              <w:rPr>
                <w:rFonts w:asciiTheme="majorBidi" w:hAnsiTheme="majorBidi" w:cstheme="majorBidi"/>
                <w:sz w:val="20"/>
                <w:szCs w:val="20"/>
              </w:rPr>
            </w:pPr>
            <w:r w:rsidRPr="007C06A3">
              <w:rPr>
                <w:rFonts w:asciiTheme="majorBidi" w:hAnsiTheme="majorBidi" w:cstheme="majorBidi"/>
                <w:sz w:val="20"/>
                <w:szCs w:val="20"/>
              </w:rPr>
              <w:t>1.68 ± 0.05</w:t>
            </w:r>
          </w:p>
        </w:tc>
        <w:tc>
          <w:tcPr>
            <w:tcW w:w="2070" w:type="dxa"/>
            <w:vAlign w:val="center"/>
          </w:tcPr>
          <w:p w14:paraId="76875574" w14:textId="77777777" w:rsidR="00A018AD" w:rsidRPr="007C06A3" w:rsidRDefault="00A018AD" w:rsidP="00BA14A2">
            <w:pPr>
              <w:autoSpaceDE w:val="0"/>
              <w:autoSpaceDN w:val="0"/>
              <w:adjustRightInd w:val="0"/>
              <w:spacing w:line="252" w:lineRule="auto"/>
              <w:jc w:val="center"/>
              <w:rPr>
                <w:rFonts w:asciiTheme="majorBidi" w:hAnsiTheme="majorBidi" w:cstheme="majorBidi"/>
                <w:sz w:val="20"/>
                <w:szCs w:val="20"/>
              </w:rPr>
            </w:pPr>
            <w:r w:rsidRPr="007C06A3">
              <w:rPr>
                <w:rFonts w:asciiTheme="majorBidi" w:hAnsiTheme="majorBidi" w:cstheme="majorBidi"/>
                <w:sz w:val="20"/>
                <w:szCs w:val="20"/>
              </w:rPr>
              <w:t>0.3 NS</w:t>
            </w:r>
          </w:p>
        </w:tc>
      </w:tr>
      <w:tr w:rsidR="00A018AD" w:rsidRPr="007C06A3" w14:paraId="4D46C513" w14:textId="77777777" w:rsidTr="007C06A3">
        <w:trPr>
          <w:trHeight w:val="20"/>
          <w:jc w:val="center"/>
        </w:trPr>
        <w:tc>
          <w:tcPr>
            <w:tcW w:w="1818" w:type="dxa"/>
            <w:shd w:val="clear" w:color="auto" w:fill="D9D9D9" w:themeFill="background1" w:themeFillShade="D9"/>
            <w:vAlign w:val="center"/>
          </w:tcPr>
          <w:p w14:paraId="5BB56418" w14:textId="77777777" w:rsidR="00A018AD" w:rsidRPr="007C06A3" w:rsidRDefault="00A018AD" w:rsidP="00BA14A2">
            <w:pPr>
              <w:autoSpaceDE w:val="0"/>
              <w:autoSpaceDN w:val="0"/>
              <w:adjustRightInd w:val="0"/>
              <w:spacing w:line="252" w:lineRule="auto"/>
              <w:jc w:val="center"/>
              <w:rPr>
                <w:rFonts w:asciiTheme="majorBidi" w:hAnsiTheme="majorBidi" w:cstheme="majorBidi"/>
                <w:b/>
                <w:bCs/>
                <w:sz w:val="20"/>
                <w:szCs w:val="20"/>
              </w:rPr>
            </w:pPr>
            <w:r w:rsidRPr="007C06A3">
              <w:rPr>
                <w:rFonts w:asciiTheme="majorBidi" w:hAnsiTheme="majorBidi" w:cstheme="majorBidi"/>
                <w:b/>
                <w:bCs/>
                <w:sz w:val="20"/>
                <w:szCs w:val="20"/>
              </w:rPr>
              <w:t>TSH</w:t>
            </w:r>
          </w:p>
        </w:tc>
        <w:tc>
          <w:tcPr>
            <w:tcW w:w="2070" w:type="dxa"/>
            <w:vAlign w:val="center"/>
          </w:tcPr>
          <w:p w14:paraId="58CDDE75" w14:textId="01753770" w:rsidR="00A018AD" w:rsidRPr="007C06A3" w:rsidRDefault="00A018AD" w:rsidP="00BA14A2">
            <w:pPr>
              <w:spacing w:line="252" w:lineRule="auto"/>
              <w:jc w:val="center"/>
              <w:rPr>
                <w:rFonts w:asciiTheme="majorBidi" w:hAnsiTheme="majorBidi" w:cstheme="majorBidi"/>
                <w:sz w:val="20"/>
                <w:szCs w:val="20"/>
              </w:rPr>
            </w:pPr>
            <w:r w:rsidRPr="007C06A3">
              <w:rPr>
                <w:rFonts w:asciiTheme="majorBidi" w:hAnsiTheme="majorBidi" w:cstheme="majorBidi"/>
                <w:sz w:val="20"/>
                <w:szCs w:val="20"/>
              </w:rPr>
              <w:t>5.66 ± 0.66</w:t>
            </w:r>
          </w:p>
        </w:tc>
        <w:tc>
          <w:tcPr>
            <w:tcW w:w="2160" w:type="dxa"/>
            <w:vAlign w:val="center"/>
          </w:tcPr>
          <w:p w14:paraId="6CDC245D" w14:textId="77777777" w:rsidR="00A018AD" w:rsidRPr="007C06A3" w:rsidRDefault="00A018AD" w:rsidP="00BA14A2">
            <w:pPr>
              <w:spacing w:line="252" w:lineRule="auto"/>
              <w:jc w:val="center"/>
              <w:rPr>
                <w:rFonts w:asciiTheme="majorBidi" w:hAnsiTheme="majorBidi" w:cstheme="majorBidi"/>
                <w:sz w:val="20"/>
                <w:szCs w:val="20"/>
              </w:rPr>
            </w:pPr>
            <w:r w:rsidRPr="007C06A3">
              <w:rPr>
                <w:rFonts w:asciiTheme="majorBidi" w:hAnsiTheme="majorBidi" w:cstheme="majorBidi"/>
                <w:sz w:val="20"/>
                <w:szCs w:val="20"/>
              </w:rPr>
              <w:t>2.08 ± 0.17</w:t>
            </w:r>
          </w:p>
        </w:tc>
        <w:tc>
          <w:tcPr>
            <w:tcW w:w="2070" w:type="dxa"/>
            <w:vAlign w:val="center"/>
          </w:tcPr>
          <w:p w14:paraId="546BF946" w14:textId="77777777" w:rsidR="00A018AD" w:rsidRPr="007C06A3" w:rsidRDefault="00A018AD" w:rsidP="00BA14A2">
            <w:pPr>
              <w:autoSpaceDE w:val="0"/>
              <w:autoSpaceDN w:val="0"/>
              <w:adjustRightInd w:val="0"/>
              <w:spacing w:line="252" w:lineRule="auto"/>
              <w:jc w:val="center"/>
              <w:rPr>
                <w:rFonts w:asciiTheme="majorBidi" w:hAnsiTheme="majorBidi" w:cstheme="majorBidi"/>
                <w:sz w:val="20"/>
                <w:szCs w:val="20"/>
              </w:rPr>
            </w:pPr>
            <w:r w:rsidRPr="007C06A3">
              <w:rPr>
                <w:rFonts w:asciiTheme="majorBidi" w:hAnsiTheme="majorBidi" w:cstheme="majorBidi"/>
                <w:sz w:val="20"/>
                <w:szCs w:val="20"/>
              </w:rPr>
              <w:t>0.001**</w:t>
            </w:r>
          </w:p>
        </w:tc>
      </w:tr>
    </w:tbl>
    <w:p w14:paraId="2F035128" w14:textId="4B1A30CB" w:rsidR="00251BC8" w:rsidRPr="00BA14A2" w:rsidRDefault="00251BC8" w:rsidP="00BA14A2">
      <w:pPr>
        <w:spacing w:after="0" w:line="252" w:lineRule="auto"/>
        <w:jc w:val="both"/>
        <w:rPr>
          <w:rFonts w:asciiTheme="majorBidi" w:hAnsiTheme="majorBidi" w:cstheme="majorBidi"/>
          <w:sz w:val="24"/>
          <w:szCs w:val="24"/>
        </w:rPr>
      </w:pPr>
    </w:p>
    <w:p w14:paraId="56B7F459" w14:textId="77777777" w:rsidR="00524CDD" w:rsidRPr="00BA14A2" w:rsidRDefault="00524CDD" w:rsidP="00BA14A2">
      <w:pPr>
        <w:spacing w:after="0" w:line="252" w:lineRule="auto"/>
        <w:jc w:val="both"/>
        <w:rPr>
          <w:rFonts w:asciiTheme="majorBidi" w:hAnsiTheme="majorBidi" w:cstheme="majorBidi"/>
          <w:b/>
          <w:bCs/>
          <w:sz w:val="24"/>
          <w:szCs w:val="24"/>
        </w:rPr>
        <w:sectPr w:rsidR="00524CDD" w:rsidRPr="00BA14A2" w:rsidSect="009F0C04">
          <w:type w:val="continuous"/>
          <w:pgSz w:w="11906" w:h="16838" w:code="9"/>
          <w:pgMar w:top="1701" w:right="1701" w:bottom="1701" w:left="1701" w:header="720" w:footer="720" w:gutter="0"/>
          <w:cols w:space="720"/>
          <w:titlePg/>
          <w:docGrid w:linePitch="360"/>
        </w:sectPr>
      </w:pPr>
    </w:p>
    <w:p w14:paraId="2D4D2A8C" w14:textId="57C5B4DA" w:rsidR="00765559" w:rsidRPr="00A23055" w:rsidRDefault="00A018AD" w:rsidP="00BA14A2">
      <w:pPr>
        <w:spacing w:after="0" w:line="252" w:lineRule="auto"/>
        <w:jc w:val="both"/>
        <w:rPr>
          <w:rFonts w:asciiTheme="majorBidi" w:hAnsiTheme="majorBidi" w:cstheme="majorBidi"/>
          <w:b/>
          <w:bCs/>
          <w:sz w:val="24"/>
          <w:szCs w:val="24"/>
        </w:rPr>
      </w:pPr>
      <w:r w:rsidRPr="00A23055">
        <w:rPr>
          <w:rFonts w:asciiTheme="majorBidi" w:hAnsiTheme="majorBidi" w:cstheme="majorBidi"/>
          <w:b/>
          <w:bCs/>
          <w:sz w:val="24"/>
          <w:szCs w:val="24"/>
        </w:rPr>
        <w:t>3</w:t>
      </w:r>
      <w:r w:rsidR="00006549" w:rsidRPr="00A23055">
        <w:rPr>
          <w:rFonts w:asciiTheme="majorBidi" w:hAnsiTheme="majorBidi" w:cstheme="majorBidi"/>
          <w:b/>
          <w:bCs/>
          <w:sz w:val="24"/>
          <w:szCs w:val="24"/>
        </w:rPr>
        <w:t>. Anti- TPO serum Level</w:t>
      </w:r>
    </w:p>
    <w:p w14:paraId="49859F6E" w14:textId="2EC88CC6" w:rsidR="00524CDD" w:rsidRDefault="00765559" w:rsidP="00BA14A2">
      <w:pPr>
        <w:spacing w:after="0" w:line="252" w:lineRule="auto"/>
        <w:ind w:firstLine="426"/>
        <w:jc w:val="both"/>
        <w:rPr>
          <w:rFonts w:asciiTheme="majorBidi" w:hAnsiTheme="majorBidi" w:cstheme="majorBidi"/>
          <w:sz w:val="24"/>
          <w:szCs w:val="24"/>
        </w:rPr>
      </w:pPr>
      <w:r w:rsidRPr="00A23055">
        <w:rPr>
          <w:rFonts w:asciiTheme="majorBidi" w:hAnsiTheme="majorBidi" w:cstheme="majorBidi"/>
          <w:sz w:val="24"/>
          <w:szCs w:val="24"/>
        </w:rPr>
        <w:t>The analysis revealed a significant elevation in mean levels of anti-thyroid peroxidase (Anti-TPO) antibodies among patients with thyroid disorders compared to the healthy control group. The mean Anti-TPO level in the patient group was 1608.58 ± 1292.83 IU/mL, while in the control group</w:t>
      </w:r>
      <w:r w:rsidR="004C7BD9" w:rsidRPr="00A23055">
        <w:rPr>
          <w:rFonts w:asciiTheme="majorBidi" w:hAnsiTheme="majorBidi" w:cstheme="majorBidi"/>
          <w:sz w:val="24"/>
          <w:szCs w:val="24"/>
        </w:rPr>
        <w:t>,</w:t>
      </w:r>
      <w:r w:rsidRPr="00A23055">
        <w:rPr>
          <w:rFonts w:asciiTheme="majorBidi" w:hAnsiTheme="majorBidi" w:cstheme="majorBidi"/>
          <w:sz w:val="24"/>
          <w:szCs w:val="24"/>
        </w:rPr>
        <w:t xml:space="preserve"> it was </w:t>
      </w:r>
      <w:r w:rsidRPr="00A23055">
        <w:rPr>
          <w:rFonts w:asciiTheme="majorBidi" w:hAnsiTheme="majorBidi" w:cstheme="majorBidi"/>
          <w:sz w:val="24"/>
          <w:szCs w:val="24"/>
        </w:rPr>
        <w:t xml:space="preserve">587.73 ± 540.42 IU/mL (p-value = 0.0001). This substantial and statistically significant difference indicates a robust autoimmune response against the thyroid gland in patients, supporting a diagnosis of autoimmune thyroid diseases such as Hashimoto's </w:t>
      </w:r>
      <w:r w:rsidRPr="007C06A3">
        <w:rPr>
          <w:rFonts w:asciiTheme="majorBidi" w:hAnsiTheme="majorBidi" w:cstheme="majorBidi"/>
          <w:sz w:val="24"/>
          <w:szCs w:val="24"/>
        </w:rPr>
        <w:t>thyroiditis.</w:t>
      </w:r>
      <w:r w:rsidR="00006549" w:rsidRPr="007C06A3">
        <w:rPr>
          <w:rFonts w:asciiTheme="majorBidi" w:hAnsiTheme="majorBidi" w:cstheme="majorBidi"/>
          <w:sz w:val="24"/>
          <w:szCs w:val="24"/>
        </w:rPr>
        <w:t xml:space="preserve"> </w:t>
      </w:r>
      <w:r w:rsidR="007C06A3" w:rsidRPr="007C06A3">
        <w:rPr>
          <w:rFonts w:asciiTheme="majorBidi" w:hAnsiTheme="majorBidi" w:cstheme="majorBidi"/>
          <w:sz w:val="24"/>
          <w:szCs w:val="24"/>
        </w:rPr>
        <w:t>(</w:t>
      </w:r>
      <w:r w:rsidR="00006549" w:rsidRPr="007C06A3">
        <w:rPr>
          <w:rFonts w:asciiTheme="majorBidi" w:hAnsiTheme="majorBidi" w:cstheme="majorBidi"/>
          <w:sz w:val="24"/>
          <w:szCs w:val="24"/>
        </w:rPr>
        <w:t xml:space="preserve">Table </w:t>
      </w:r>
      <w:r w:rsidR="00A018AD" w:rsidRPr="007C06A3">
        <w:rPr>
          <w:rFonts w:asciiTheme="majorBidi" w:hAnsiTheme="majorBidi" w:cstheme="majorBidi"/>
          <w:sz w:val="24"/>
          <w:szCs w:val="24"/>
        </w:rPr>
        <w:t>4</w:t>
      </w:r>
      <w:r w:rsidR="00006549" w:rsidRPr="007C06A3">
        <w:rPr>
          <w:rFonts w:asciiTheme="majorBidi" w:hAnsiTheme="majorBidi" w:cstheme="majorBidi"/>
          <w:sz w:val="24"/>
          <w:szCs w:val="24"/>
        </w:rPr>
        <w:t xml:space="preserve"> and Figure 1</w:t>
      </w:r>
      <w:r w:rsidR="007C06A3" w:rsidRPr="007C06A3">
        <w:rPr>
          <w:rFonts w:asciiTheme="majorBidi" w:hAnsiTheme="majorBidi" w:cstheme="majorBidi"/>
          <w:sz w:val="24"/>
          <w:szCs w:val="24"/>
        </w:rPr>
        <w:t>)</w:t>
      </w:r>
      <w:r w:rsidR="00006549" w:rsidRPr="007C06A3">
        <w:rPr>
          <w:rFonts w:asciiTheme="majorBidi" w:hAnsiTheme="majorBidi" w:cstheme="majorBidi"/>
          <w:sz w:val="24"/>
          <w:szCs w:val="24"/>
        </w:rPr>
        <w:t xml:space="preserve"> </w:t>
      </w:r>
      <w:r w:rsidR="00006549" w:rsidRPr="00A23055">
        <w:rPr>
          <w:rFonts w:asciiTheme="majorBidi" w:hAnsiTheme="majorBidi" w:cstheme="majorBidi"/>
          <w:sz w:val="24"/>
          <w:szCs w:val="24"/>
        </w:rPr>
        <w:t>display the result.</w:t>
      </w:r>
    </w:p>
    <w:p w14:paraId="5ECD4D03" w14:textId="77777777" w:rsidR="00E0443D" w:rsidRDefault="00E0443D" w:rsidP="00BA14A2">
      <w:pPr>
        <w:spacing w:after="0" w:line="252" w:lineRule="auto"/>
        <w:ind w:firstLine="426"/>
        <w:jc w:val="both"/>
        <w:rPr>
          <w:rFonts w:asciiTheme="majorBidi" w:hAnsiTheme="majorBidi" w:cstheme="majorBidi"/>
          <w:sz w:val="24"/>
          <w:szCs w:val="24"/>
        </w:rPr>
        <w:sectPr w:rsidR="00E0443D" w:rsidSect="00524CDD">
          <w:type w:val="continuous"/>
          <w:pgSz w:w="11906" w:h="16838" w:code="9"/>
          <w:pgMar w:top="1701" w:right="1701" w:bottom="1701" w:left="1701" w:header="720" w:footer="720" w:gutter="0"/>
          <w:cols w:num="2" w:space="720"/>
          <w:titlePg/>
          <w:docGrid w:linePitch="360"/>
        </w:sectPr>
      </w:pPr>
    </w:p>
    <w:p w14:paraId="04660D7C" w14:textId="6A25DC69" w:rsidR="00765559" w:rsidRDefault="00765559" w:rsidP="00BA14A2">
      <w:pPr>
        <w:spacing w:after="0" w:line="252" w:lineRule="auto"/>
        <w:ind w:firstLine="426"/>
        <w:jc w:val="both"/>
        <w:rPr>
          <w:rFonts w:asciiTheme="majorBidi" w:hAnsiTheme="majorBidi" w:cstheme="majorBidi"/>
          <w:sz w:val="24"/>
          <w:szCs w:val="24"/>
        </w:rPr>
      </w:pPr>
    </w:p>
    <w:p w14:paraId="5A20129B" w14:textId="6D8E156A" w:rsidR="00006549" w:rsidRPr="001624E0" w:rsidRDefault="00006549" w:rsidP="00E56D9F">
      <w:pPr>
        <w:spacing w:after="0" w:line="252" w:lineRule="auto"/>
        <w:jc w:val="center"/>
        <w:rPr>
          <w:rFonts w:asciiTheme="majorBidi" w:hAnsiTheme="majorBidi" w:cstheme="majorBidi"/>
          <w:b/>
          <w:bCs/>
          <w:sz w:val="20"/>
          <w:szCs w:val="20"/>
        </w:rPr>
      </w:pPr>
      <w:r w:rsidRPr="001624E0">
        <w:rPr>
          <w:rFonts w:asciiTheme="majorBidi" w:hAnsiTheme="majorBidi" w:cstheme="majorBidi"/>
          <w:b/>
          <w:bCs/>
          <w:sz w:val="20"/>
          <w:szCs w:val="20"/>
        </w:rPr>
        <w:t>Table</w:t>
      </w:r>
      <w:r w:rsidR="004C7BD9" w:rsidRPr="001624E0">
        <w:rPr>
          <w:rFonts w:asciiTheme="majorBidi" w:hAnsiTheme="majorBidi" w:cstheme="majorBidi"/>
          <w:b/>
          <w:bCs/>
          <w:sz w:val="20"/>
          <w:szCs w:val="20"/>
        </w:rPr>
        <w:t xml:space="preserve"> </w:t>
      </w:r>
      <w:r w:rsidR="001624E0" w:rsidRPr="001624E0">
        <w:rPr>
          <w:rFonts w:asciiTheme="majorBidi" w:hAnsiTheme="majorBidi" w:cstheme="majorBidi"/>
          <w:b/>
          <w:bCs/>
          <w:sz w:val="20"/>
          <w:szCs w:val="20"/>
        </w:rPr>
        <w:t>(</w:t>
      </w:r>
      <w:r w:rsidR="004C7BD9" w:rsidRPr="001624E0">
        <w:rPr>
          <w:rFonts w:asciiTheme="majorBidi" w:hAnsiTheme="majorBidi" w:cstheme="majorBidi"/>
          <w:b/>
          <w:bCs/>
          <w:sz w:val="20"/>
          <w:szCs w:val="20"/>
        </w:rPr>
        <w:t>4</w:t>
      </w:r>
      <w:r w:rsidR="001624E0" w:rsidRPr="001624E0">
        <w:rPr>
          <w:rFonts w:asciiTheme="majorBidi" w:hAnsiTheme="majorBidi" w:cstheme="majorBidi"/>
          <w:b/>
          <w:bCs/>
          <w:sz w:val="20"/>
          <w:szCs w:val="20"/>
        </w:rPr>
        <w:t>)</w:t>
      </w:r>
      <w:r w:rsidRPr="001624E0">
        <w:rPr>
          <w:rFonts w:asciiTheme="majorBidi" w:hAnsiTheme="majorBidi" w:cstheme="majorBidi"/>
          <w:b/>
          <w:bCs/>
          <w:sz w:val="20"/>
          <w:szCs w:val="20"/>
        </w:rPr>
        <w:t xml:space="preserve">: </w:t>
      </w:r>
      <w:r w:rsidR="00E56D9F" w:rsidRPr="00C6335B">
        <w:rPr>
          <w:rFonts w:asciiTheme="majorBidi" w:eastAsia="Calibri" w:hAnsiTheme="majorBidi" w:cstheme="majorBidi"/>
          <w:b/>
          <w:bCs/>
          <w:color w:val="000000" w:themeColor="text1"/>
          <w:sz w:val="20"/>
          <w:szCs w:val="20"/>
        </w:rPr>
        <w:t xml:space="preserve">Serum </w:t>
      </w:r>
      <w:r w:rsidR="00E56D9F" w:rsidRPr="00C6335B">
        <w:rPr>
          <w:rFonts w:asciiTheme="majorBidi" w:hAnsiTheme="majorBidi" w:cstheme="majorBidi"/>
          <w:b/>
          <w:bCs/>
          <w:color w:val="000000" w:themeColor="text1"/>
          <w:sz w:val="20"/>
          <w:szCs w:val="20"/>
        </w:rPr>
        <w:t>Anti-TPO level</w:t>
      </w:r>
      <w:r w:rsidR="00CB6E8D" w:rsidRPr="00C6335B">
        <w:rPr>
          <w:rFonts w:asciiTheme="majorBidi" w:hAnsiTheme="majorBidi" w:cstheme="majorBidi"/>
          <w:b/>
          <w:bCs/>
          <w:color w:val="000000" w:themeColor="text1"/>
          <w:sz w:val="20"/>
          <w:szCs w:val="20"/>
        </w:rPr>
        <w:t>s</w:t>
      </w:r>
      <w:r w:rsidR="00E56D9F" w:rsidRPr="00C6335B">
        <w:rPr>
          <w:rFonts w:asciiTheme="majorBidi" w:eastAsia="Calibri" w:hAnsiTheme="majorBidi" w:cstheme="majorBidi"/>
          <w:b/>
          <w:bCs/>
          <w:color w:val="000000" w:themeColor="text1"/>
          <w:sz w:val="20"/>
          <w:szCs w:val="20"/>
        </w:rPr>
        <w:t xml:space="preserve"> among studied groups.</w:t>
      </w:r>
      <w:r w:rsidRPr="00C6335B">
        <w:rPr>
          <w:rFonts w:asciiTheme="majorBidi" w:hAnsiTheme="majorBidi" w:cstheme="majorBidi"/>
          <w:b/>
          <w:bCs/>
          <w:color w:val="000000" w:themeColor="text1"/>
          <w:sz w:val="20"/>
          <w:szCs w:val="20"/>
        </w:rPr>
        <w:t xml:space="preserve"> </w:t>
      </w:r>
    </w:p>
    <w:tbl>
      <w:tblPr>
        <w:tblStyle w:val="TableGrid"/>
        <w:tblW w:w="8081" w:type="dxa"/>
        <w:jc w:val="center"/>
        <w:tblLayout w:type="fixed"/>
        <w:tblLook w:val="0000" w:firstRow="0" w:lastRow="0" w:firstColumn="0" w:lastColumn="0" w:noHBand="0" w:noVBand="0"/>
      </w:tblPr>
      <w:tblGrid>
        <w:gridCol w:w="1311"/>
        <w:gridCol w:w="1260"/>
        <w:gridCol w:w="1299"/>
        <w:gridCol w:w="1350"/>
        <w:gridCol w:w="1350"/>
        <w:gridCol w:w="1511"/>
      </w:tblGrid>
      <w:tr w:rsidR="00A50C82" w:rsidRPr="001624E0" w14:paraId="31FEB781" w14:textId="77777777" w:rsidTr="001624E0">
        <w:trPr>
          <w:jc w:val="center"/>
        </w:trPr>
        <w:tc>
          <w:tcPr>
            <w:tcW w:w="1311" w:type="dxa"/>
            <w:shd w:val="clear" w:color="auto" w:fill="D9D9D9" w:themeFill="background1" w:themeFillShade="D9"/>
            <w:vAlign w:val="center"/>
          </w:tcPr>
          <w:p w14:paraId="1B76A5DE" w14:textId="77777777" w:rsidR="00A50C82" w:rsidRPr="001624E0" w:rsidRDefault="00A50C82" w:rsidP="00BA14A2">
            <w:pPr>
              <w:autoSpaceDE w:val="0"/>
              <w:autoSpaceDN w:val="0"/>
              <w:adjustRightInd w:val="0"/>
              <w:spacing w:line="252" w:lineRule="auto"/>
              <w:jc w:val="center"/>
              <w:rPr>
                <w:rFonts w:asciiTheme="majorBidi" w:hAnsiTheme="majorBidi" w:cstheme="majorBidi"/>
                <w:b/>
                <w:bCs/>
                <w:sz w:val="20"/>
                <w:szCs w:val="20"/>
              </w:rPr>
            </w:pPr>
            <w:r w:rsidRPr="001624E0">
              <w:rPr>
                <w:rFonts w:asciiTheme="majorBidi" w:hAnsiTheme="majorBidi" w:cstheme="majorBidi"/>
                <w:b/>
                <w:bCs/>
                <w:sz w:val="20"/>
                <w:szCs w:val="20"/>
              </w:rPr>
              <w:t>Parameters</w:t>
            </w:r>
          </w:p>
        </w:tc>
        <w:tc>
          <w:tcPr>
            <w:tcW w:w="1260" w:type="dxa"/>
            <w:shd w:val="clear" w:color="auto" w:fill="D9D9D9" w:themeFill="background1" w:themeFillShade="D9"/>
            <w:vAlign w:val="center"/>
          </w:tcPr>
          <w:p w14:paraId="31C5FC28" w14:textId="7391F098" w:rsidR="00A50C82" w:rsidRPr="001624E0" w:rsidRDefault="001624E0" w:rsidP="00BA14A2">
            <w:pPr>
              <w:autoSpaceDE w:val="0"/>
              <w:autoSpaceDN w:val="0"/>
              <w:adjustRightInd w:val="0"/>
              <w:spacing w:line="252" w:lineRule="auto"/>
              <w:jc w:val="center"/>
              <w:rPr>
                <w:rFonts w:asciiTheme="majorBidi" w:hAnsiTheme="majorBidi" w:cstheme="majorBidi"/>
                <w:b/>
                <w:bCs/>
                <w:sz w:val="20"/>
                <w:szCs w:val="20"/>
              </w:rPr>
            </w:pPr>
            <w:r w:rsidRPr="001624E0">
              <w:rPr>
                <w:rFonts w:asciiTheme="majorBidi" w:hAnsiTheme="majorBidi" w:cstheme="majorBidi"/>
                <w:b/>
                <w:bCs/>
                <w:sz w:val="20"/>
                <w:szCs w:val="20"/>
              </w:rPr>
              <w:t>G</w:t>
            </w:r>
            <w:r w:rsidR="00A50C82" w:rsidRPr="001624E0">
              <w:rPr>
                <w:rFonts w:asciiTheme="majorBidi" w:hAnsiTheme="majorBidi" w:cstheme="majorBidi"/>
                <w:b/>
                <w:bCs/>
                <w:sz w:val="20"/>
                <w:szCs w:val="20"/>
              </w:rPr>
              <w:t>roup</w:t>
            </w:r>
          </w:p>
        </w:tc>
        <w:tc>
          <w:tcPr>
            <w:tcW w:w="1299" w:type="dxa"/>
            <w:shd w:val="clear" w:color="auto" w:fill="D9D9D9" w:themeFill="background1" w:themeFillShade="D9"/>
            <w:vAlign w:val="center"/>
          </w:tcPr>
          <w:p w14:paraId="13676173" w14:textId="77777777" w:rsidR="00A50C82" w:rsidRPr="001624E0" w:rsidRDefault="00A50C82" w:rsidP="00BA14A2">
            <w:pPr>
              <w:autoSpaceDE w:val="0"/>
              <w:autoSpaceDN w:val="0"/>
              <w:adjustRightInd w:val="0"/>
              <w:spacing w:line="252" w:lineRule="auto"/>
              <w:jc w:val="center"/>
              <w:rPr>
                <w:rFonts w:asciiTheme="majorBidi" w:hAnsiTheme="majorBidi" w:cstheme="majorBidi"/>
                <w:b/>
                <w:bCs/>
                <w:sz w:val="20"/>
                <w:szCs w:val="20"/>
              </w:rPr>
            </w:pPr>
            <w:r w:rsidRPr="001624E0">
              <w:rPr>
                <w:rFonts w:asciiTheme="majorBidi" w:hAnsiTheme="majorBidi" w:cstheme="majorBidi"/>
                <w:b/>
                <w:bCs/>
                <w:sz w:val="20"/>
                <w:szCs w:val="20"/>
              </w:rPr>
              <w:t>Mean</w:t>
            </w:r>
          </w:p>
        </w:tc>
        <w:tc>
          <w:tcPr>
            <w:tcW w:w="1350" w:type="dxa"/>
            <w:shd w:val="clear" w:color="auto" w:fill="D9D9D9" w:themeFill="background1" w:themeFillShade="D9"/>
            <w:vAlign w:val="center"/>
          </w:tcPr>
          <w:p w14:paraId="0012473B" w14:textId="77777777" w:rsidR="00A50C82" w:rsidRPr="001624E0" w:rsidRDefault="00A50C82" w:rsidP="00BA14A2">
            <w:pPr>
              <w:autoSpaceDE w:val="0"/>
              <w:autoSpaceDN w:val="0"/>
              <w:adjustRightInd w:val="0"/>
              <w:spacing w:line="252" w:lineRule="auto"/>
              <w:jc w:val="center"/>
              <w:rPr>
                <w:rFonts w:asciiTheme="majorBidi" w:hAnsiTheme="majorBidi" w:cstheme="majorBidi"/>
                <w:b/>
                <w:bCs/>
                <w:sz w:val="20"/>
                <w:szCs w:val="20"/>
              </w:rPr>
            </w:pPr>
            <w:r w:rsidRPr="001624E0">
              <w:rPr>
                <w:rFonts w:asciiTheme="majorBidi" w:hAnsiTheme="majorBidi" w:cstheme="majorBidi"/>
                <w:b/>
                <w:bCs/>
                <w:sz w:val="20"/>
                <w:szCs w:val="20"/>
              </w:rPr>
              <w:t>Std. Deviation</w:t>
            </w:r>
          </w:p>
        </w:tc>
        <w:tc>
          <w:tcPr>
            <w:tcW w:w="1350" w:type="dxa"/>
            <w:shd w:val="clear" w:color="auto" w:fill="D9D9D9" w:themeFill="background1" w:themeFillShade="D9"/>
            <w:vAlign w:val="center"/>
          </w:tcPr>
          <w:p w14:paraId="58435CBA" w14:textId="77777777" w:rsidR="00A50C82" w:rsidRPr="001624E0" w:rsidRDefault="00A50C82" w:rsidP="00BA14A2">
            <w:pPr>
              <w:autoSpaceDE w:val="0"/>
              <w:autoSpaceDN w:val="0"/>
              <w:adjustRightInd w:val="0"/>
              <w:spacing w:line="252" w:lineRule="auto"/>
              <w:jc w:val="center"/>
              <w:rPr>
                <w:rFonts w:asciiTheme="majorBidi" w:hAnsiTheme="majorBidi" w:cstheme="majorBidi"/>
                <w:b/>
                <w:bCs/>
                <w:sz w:val="20"/>
                <w:szCs w:val="20"/>
              </w:rPr>
            </w:pPr>
            <w:r w:rsidRPr="001624E0">
              <w:rPr>
                <w:rFonts w:asciiTheme="majorBidi" w:hAnsiTheme="majorBidi" w:cstheme="majorBidi"/>
                <w:b/>
                <w:bCs/>
                <w:sz w:val="20"/>
                <w:szCs w:val="20"/>
              </w:rPr>
              <w:t>Std. Error Mean</w:t>
            </w:r>
          </w:p>
        </w:tc>
        <w:tc>
          <w:tcPr>
            <w:tcW w:w="1511" w:type="dxa"/>
            <w:shd w:val="clear" w:color="auto" w:fill="D9D9D9" w:themeFill="background1" w:themeFillShade="D9"/>
            <w:vAlign w:val="center"/>
          </w:tcPr>
          <w:p w14:paraId="2B49318D" w14:textId="2A2C44CD" w:rsidR="00A50C82" w:rsidRPr="001624E0" w:rsidRDefault="00A50C82" w:rsidP="00BA14A2">
            <w:pPr>
              <w:autoSpaceDE w:val="0"/>
              <w:autoSpaceDN w:val="0"/>
              <w:adjustRightInd w:val="0"/>
              <w:spacing w:line="252" w:lineRule="auto"/>
              <w:jc w:val="center"/>
              <w:rPr>
                <w:rFonts w:asciiTheme="majorBidi" w:hAnsiTheme="majorBidi" w:cstheme="majorBidi"/>
                <w:b/>
                <w:bCs/>
                <w:sz w:val="20"/>
                <w:szCs w:val="20"/>
              </w:rPr>
            </w:pPr>
            <w:r w:rsidRPr="001624E0">
              <w:rPr>
                <w:rFonts w:asciiTheme="majorBidi" w:hAnsiTheme="majorBidi" w:cstheme="majorBidi"/>
                <w:b/>
                <w:bCs/>
                <w:sz w:val="20"/>
                <w:szCs w:val="20"/>
              </w:rPr>
              <w:t>P-value</w:t>
            </w:r>
          </w:p>
        </w:tc>
      </w:tr>
      <w:tr w:rsidR="00A50C82" w:rsidRPr="001624E0" w14:paraId="5F0B3EB6" w14:textId="77777777" w:rsidTr="001624E0">
        <w:trPr>
          <w:jc w:val="center"/>
        </w:trPr>
        <w:tc>
          <w:tcPr>
            <w:tcW w:w="1311" w:type="dxa"/>
            <w:vMerge w:val="restart"/>
            <w:shd w:val="clear" w:color="auto" w:fill="D9D9D9" w:themeFill="background1" w:themeFillShade="D9"/>
            <w:vAlign w:val="center"/>
          </w:tcPr>
          <w:p w14:paraId="3A11E33A" w14:textId="5B470548" w:rsidR="00A50C82" w:rsidRPr="00802065" w:rsidRDefault="00A50C82" w:rsidP="00BA14A2">
            <w:pPr>
              <w:autoSpaceDE w:val="0"/>
              <w:autoSpaceDN w:val="0"/>
              <w:adjustRightInd w:val="0"/>
              <w:spacing w:line="252" w:lineRule="auto"/>
              <w:jc w:val="center"/>
              <w:rPr>
                <w:rFonts w:asciiTheme="majorBidi" w:hAnsiTheme="majorBidi" w:cstheme="majorBidi"/>
                <w:b/>
                <w:bCs/>
                <w:sz w:val="20"/>
                <w:szCs w:val="20"/>
              </w:rPr>
            </w:pPr>
            <w:r w:rsidRPr="00802065">
              <w:rPr>
                <w:rFonts w:asciiTheme="majorBidi" w:hAnsiTheme="majorBidi" w:cstheme="majorBidi"/>
                <w:b/>
                <w:bCs/>
                <w:sz w:val="20"/>
                <w:szCs w:val="20"/>
              </w:rPr>
              <w:t>Anti-TPO</w:t>
            </w:r>
            <w:r w:rsidR="007A4938" w:rsidRPr="00802065">
              <w:rPr>
                <w:rFonts w:asciiTheme="majorBidi" w:hAnsiTheme="majorBidi" w:cstheme="majorBidi"/>
                <w:b/>
                <w:bCs/>
                <w:sz w:val="20"/>
                <w:szCs w:val="20"/>
              </w:rPr>
              <w:t xml:space="preserve"> </w:t>
            </w:r>
          </w:p>
          <w:p w14:paraId="13D29C12" w14:textId="2B836647" w:rsidR="007A4938" w:rsidRPr="00802065" w:rsidRDefault="007A4938" w:rsidP="00BA14A2">
            <w:pPr>
              <w:autoSpaceDE w:val="0"/>
              <w:autoSpaceDN w:val="0"/>
              <w:adjustRightInd w:val="0"/>
              <w:spacing w:line="252" w:lineRule="auto"/>
              <w:jc w:val="center"/>
              <w:rPr>
                <w:rFonts w:asciiTheme="majorBidi" w:hAnsiTheme="majorBidi" w:cstheme="majorBidi"/>
                <w:sz w:val="24"/>
                <w:szCs w:val="24"/>
              </w:rPr>
            </w:pPr>
            <w:r w:rsidRPr="00802065">
              <w:rPr>
                <w:rFonts w:asciiTheme="majorBidi" w:hAnsiTheme="majorBidi" w:cstheme="majorBidi"/>
                <w:b/>
                <w:bCs/>
                <w:sz w:val="20"/>
                <w:szCs w:val="20"/>
              </w:rPr>
              <w:t>(IU/mL)</w:t>
            </w:r>
          </w:p>
        </w:tc>
        <w:tc>
          <w:tcPr>
            <w:tcW w:w="1260" w:type="dxa"/>
            <w:vAlign w:val="center"/>
          </w:tcPr>
          <w:p w14:paraId="11BA079A" w14:textId="77777777" w:rsidR="00A50C82" w:rsidRPr="001624E0" w:rsidRDefault="00A50C82" w:rsidP="00BA14A2">
            <w:pPr>
              <w:autoSpaceDE w:val="0"/>
              <w:autoSpaceDN w:val="0"/>
              <w:adjustRightInd w:val="0"/>
              <w:spacing w:line="252" w:lineRule="auto"/>
              <w:jc w:val="center"/>
              <w:rPr>
                <w:rFonts w:asciiTheme="majorBidi" w:hAnsiTheme="majorBidi" w:cstheme="majorBidi"/>
                <w:sz w:val="20"/>
                <w:szCs w:val="20"/>
              </w:rPr>
            </w:pPr>
            <w:r w:rsidRPr="001624E0">
              <w:rPr>
                <w:rFonts w:asciiTheme="majorBidi" w:hAnsiTheme="majorBidi" w:cstheme="majorBidi"/>
                <w:sz w:val="20"/>
                <w:szCs w:val="20"/>
              </w:rPr>
              <w:t>patients</w:t>
            </w:r>
          </w:p>
        </w:tc>
        <w:tc>
          <w:tcPr>
            <w:tcW w:w="1299" w:type="dxa"/>
            <w:vAlign w:val="center"/>
          </w:tcPr>
          <w:p w14:paraId="28C2671A" w14:textId="77777777" w:rsidR="00A50C82" w:rsidRPr="001624E0" w:rsidRDefault="00A50C82" w:rsidP="00BA14A2">
            <w:pPr>
              <w:autoSpaceDE w:val="0"/>
              <w:autoSpaceDN w:val="0"/>
              <w:adjustRightInd w:val="0"/>
              <w:spacing w:line="252" w:lineRule="auto"/>
              <w:jc w:val="center"/>
              <w:rPr>
                <w:rFonts w:asciiTheme="majorBidi" w:hAnsiTheme="majorBidi" w:cstheme="majorBidi"/>
                <w:sz w:val="20"/>
                <w:szCs w:val="20"/>
              </w:rPr>
            </w:pPr>
            <w:r w:rsidRPr="001624E0">
              <w:rPr>
                <w:rFonts w:asciiTheme="majorBidi" w:hAnsiTheme="majorBidi" w:cstheme="majorBidi"/>
                <w:sz w:val="20"/>
                <w:szCs w:val="20"/>
              </w:rPr>
              <w:t>1608.585</w:t>
            </w:r>
          </w:p>
        </w:tc>
        <w:tc>
          <w:tcPr>
            <w:tcW w:w="1350" w:type="dxa"/>
            <w:vAlign w:val="center"/>
          </w:tcPr>
          <w:p w14:paraId="44FA2736" w14:textId="77777777" w:rsidR="00A50C82" w:rsidRPr="001624E0" w:rsidRDefault="00A50C82" w:rsidP="00BA14A2">
            <w:pPr>
              <w:autoSpaceDE w:val="0"/>
              <w:autoSpaceDN w:val="0"/>
              <w:adjustRightInd w:val="0"/>
              <w:spacing w:line="252" w:lineRule="auto"/>
              <w:jc w:val="center"/>
              <w:rPr>
                <w:rFonts w:asciiTheme="majorBidi" w:hAnsiTheme="majorBidi" w:cstheme="majorBidi"/>
                <w:sz w:val="20"/>
                <w:szCs w:val="20"/>
              </w:rPr>
            </w:pPr>
            <w:r w:rsidRPr="001624E0">
              <w:rPr>
                <w:rFonts w:asciiTheme="majorBidi" w:hAnsiTheme="majorBidi" w:cstheme="majorBidi"/>
                <w:sz w:val="20"/>
                <w:szCs w:val="20"/>
              </w:rPr>
              <w:t>1292.83</w:t>
            </w:r>
          </w:p>
        </w:tc>
        <w:tc>
          <w:tcPr>
            <w:tcW w:w="1350" w:type="dxa"/>
            <w:vAlign w:val="center"/>
          </w:tcPr>
          <w:p w14:paraId="4BBF297E" w14:textId="77777777" w:rsidR="00A50C82" w:rsidRPr="001624E0" w:rsidRDefault="00A50C82" w:rsidP="00BA14A2">
            <w:pPr>
              <w:autoSpaceDE w:val="0"/>
              <w:autoSpaceDN w:val="0"/>
              <w:adjustRightInd w:val="0"/>
              <w:spacing w:line="252" w:lineRule="auto"/>
              <w:jc w:val="center"/>
              <w:rPr>
                <w:rFonts w:asciiTheme="majorBidi" w:hAnsiTheme="majorBidi" w:cstheme="majorBidi"/>
                <w:sz w:val="20"/>
                <w:szCs w:val="20"/>
              </w:rPr>
            </w:pPr>
            <w:r w:rsidRPr="001624E0">
              <w:rPr>
                <w:rFonts w:asciiTheme="majorBidi" w:hAnsiTheme="majorBidi" w:cstheme="majorBidi"/>
                <w:sz w:val="20"/>
                <w:szCs w:val="20"/>
              </w:rPr>
              <w:t>184.69</w:t>
            </w:r>
          </w:p>
        </w:tc>
        <w:tc>
          <w:tcPr>
            <w:tcW w:w="1511" w:type="dxa"/>
            <w:vMerge w:val="restart"/>
            <w:vAlign w:val="center"/>
          </w:tcPr>
          <w:p w14:paraId="7FA7AFAB" w14:textId="77777777" w:rsidR="00A50C82" w:rsidRPr="001624E0" w:rsidRDefault="002C55E1" w:rsidP="00BA14A2">
            <w:pPr>
              <w:autoSpaceDE w:val="0"/>
              <w:autoSpaceDN w:val="0"/>
              <w:adjustRightInd w:val="0"/>
              <w:spacing w:line="252" w:lineRule="auto"/>
              <w:jc w:val="center"/>
              <w:rPr>
                <w:rFonts w:asciiTheme="majorBidi" w:hAnsiTheme="majorBidi" w:cstheme="majorBidi"/>
                <w:sz w:val="20"/>
                <w:szCs w:val="20"/>
              </w:rPr>
            </w:pPr>
            <w:r w:rsidRPr="001624E0">
              <w:rPr>
                <w:rFonts w:asciiTheme="majorBidi" w:hAnsiTheme="majorBidi" w:cstheme="majorBidi"/>
                <w:sz w:val="20"/>
                <w:szCs w:val="20"/>
              </w:rPr>
              <w:t xml:space="preserve">˂ </w:t>
            </w:r>
            <w:r w:rsidR="00A50C82" w:rsidRPr="001624E0">
              <w:rPr>
                <w:rFonts w:asciiTheme="majorBidi" w:hAnsiTheme="majorBidi" w:cstheme="majorBidi"/>
                <w:sz w:val="20"/>
                <w:szCs w:val="20"/>
              </w:rPr>
              <w:t>0.001</w:t>
            </w:r>
            <w:r w:rsidRPr="001624E0">
              <w:rPr>
                <w:rFonts w:asciiTheme="majorBidi" w:hAnsiTheme="majorBidi" w:cstheme="majorBidi"/>
                <w:sz w:val="20"/>
                <w:szCs w:val="20"/>
              </w:rPr>
              <w:t>**</w:t>
            </w:r>
          </w:p>
        </w:tc>
      </w:tr>
      <w:tr w:rsidR="00A50C82" w:rsidRPr="001624E0" w14:paraId="1B956CAF" w14:textId="77777777" w:rsidTr="001624E0">
        <w:trPr>
          <w:jc w:val="center"/>
        </w:trPr>
        <w:tc>
          <w:tcPr>
            <w:tcW w:w="1311" w:type="dxa"/>
            <w:vMerge/>
            <w:shd w:val="clear" w:color="auto" w:fill="D9D9D9" w:themeFill="background1" w:themeFillShade="D9"/>
            <w:vAlign w:val="center"/>
          </w:tcPr>
          <w:p w14:paraId="4D71B53E" w14:textId="77777777" w:rsidR="00A50C82" w:rsidRPr="001624E0" w:rsidRDefault="00A50C82" w:rsidP="00BA14A2">
            <w:pPr>
              <w:autoSpaceDE w:val="0"/>
              <w:autoSpaceDN w:val="0"/>
              <w:adjustRightInd w:val="0"/>
              <w:spacing w:line="252" w:lineRule="auto"/>
              <w:jc w:val="center"/>
              <w:rPr>
                <w:rFonts w:asciiTheme="majorBidi" w:hAnsiTheme="majorBidi" w:cstheme="majorBidi"/>
                <w:sz w:val="20"/>
                <w:szCs w:val="20"/>
              </w:rPr>
            </w:pPr>
          </w:p>
        </w:tc>
        <w:tc>
          <w:tcPr>
            <w:tcW w:w="1260" w:type="dxa"/>
            <w:vAlign w:val="center"/>
          </w:tcPr>
          <w:p w14:paraId="1E42DF4C" w14:textId="77777777" w:rsidR="00A50C82" w:rsidRPr="001624E0" w:rsidRDefault="00A50C82" w:rsidP="00BA14A2">
            <w:pPr>
              <w:autoSpaceDE w:val="0"/>
              <w:autoSpaceDN w:val="0"/>
              <w:adjustRightInd w:val="0"/>
              <w:spacing w:line="252" w:lineRule="auto"/>
              <w:jc w:val="center"/>
              <w:rPr>
                <w:rFonts w:asciiTheme="majorBidi" w:hAnsiTheme="majorBidi" w:cstheme="majorBidi"/>
                <w:sz w:val="20"/>
                <w:szCs w:val="20"/>
              </w:rPr>
            </w:pPr>
            <w:r w:rsidRPr="001624E0">
              <w:rPr>
                <w:rFonts w:asciiTheme="majorBidi" w:hAnsiTheme="majorBidi" w:cstheme="majorBidi"/>
                <w:sz w:val="20"/>
                <w:szCs w:val="20"/>
              </w:rPr>
              <w:t>control</w:t>
            </w:r>
          </w:p>
        </w:tc>
        <w:tc>
          <w:tcPr>
            <w:tcW w:w="1299" w:type="dxa"/>
            <w:vAlign w:val="center"/>
          </w:tcPr>
          <w:p w14:paraId="067D1CF0" w14:textId="77777777" w:rsidR="00A50C82" w:rsidRPr="001624E0" w:rsidRDefault="00A50C82" w:rsidP="00BA14A2">
            <w:pPr>
              <w:autoSpaceDE w:val="0"/>
              <w:autoSpaceDN w:val="0"/>
              <w:adjustRightInd w:val="0"/>
              <w:spacing w:line="252" w:lineRule="auto"/>
              <w:jc w:val="center"/>
              <w:rPr>
                <w:rFonts w:asciiTheme="majorBidi" w:hAnsiTheme="majorBidi" w:cstheme="majorBidi"/>
                <w:sz w:val="20"/>
                <w:szCs w:val="20"/>
              </w:rPr>
            </w:pPr>
            <w:r w:rsidRPr="001624E0">
              <w:rPr>
                <w:rFonts w:asciiTheme="majorBidi" w:hAnsiTheme="majorBidi" w:cstheme="majorBidi"/>
                <w:sz w:val="20"/>
                <w:szCs w:val="20"/>
              </w:rPr>
              <w:t>587.733</w:t>
            </w:r>
          </w:p>
        </w:tc>
        <w:tc>
          <w:tcPr>
            <w:tcW w:w="1350" w:type="dxa"/>
            <w:vAlign w:val="center"/>
          </w:tcPr>
          <w:p w14:paraId="08CBCAC1" w14:textId="77777777" w:rsidR="00A50C82" w:rsidRPr="001624E0" w:rsidRDefault="00A50C82" w:rsidP="00BA14A2">
            <w:pPr>
              <w:autoSpaceDE w:val="0"/>
              <w:autoSpaceDN w:val="0"/>
              <w:adjustRightInd w:val="0"/>
              <w:spacing w:line="252" w:lineRule="auto"/>
              <w:jc w:val="center"/>
              <w:rPr>
                <w:rFonts w:asciiTheme="majorBidi" w:hAnsiTheme="majorBidi" w:cstheme="majorBidi"/>
                <w:sz w:val="20"/>
                <w:szCs w:val="20"/>
              </w:rPr>
            </w:pPr>
            <w:r w:rsidRPr="001624E0">
              <w:rPr>
                <w:rFonts w:asciiTheme="majorBidi" w:hAnsiTheme="majorBidi" w:cstheme="majorBidi"/>
                <w:sz w:val="20"/>
                <w:szCs w:val="20"/>
              </w:rPr>
              <w:t>540.42</w:t>
            </w:r>
          </w:p>
        </w:tc>
        <w:tc>
          <w:tcPr>
            <w:tcW w:w="1350" w:type="dxa"/>
            <w:vAlign w:val="center"/>
          </w:tcPr>
          <w:p w14:paraId="0D2DFDFF" w14:textId="77777777" w:rsidR="00A50C82" w:rsidRPr="001624E0" w:rsidRDefault="00A50C82" w:rsidP="00BA14A2">
            <w:pPr>
              <w:autoSpaceDE w:val="0"/>
              <w:autoSpaceDN w:val="0"/>
              <w:adjustRightInd w:val="0"/>
              <w:spacing w:line="252" w:lineRule="auto"/>
              <w:jc w:val="center"/>
              <w:rPr>
                <w:rFonts w:asciiTheme="majorBidi" w:hAnsiTheme="majorBidi" w:cstheme="majorBidi"/>
                <w:sz w:val="20"/>
                <w:szCs w:val="20"/>
              </w:rPr>
            </w:pPr>
            <w:r w:rsidRPr="001624E0">
              <w:rPr>
                <w:rFonts w:asciiTheme="majorBidi" w:hAnsiTheme="majorBidi" w:cstheme="majorBidi"/>
                <w:sz w:val="20"/>
                <w:szCs w:val="20"/>
              </w:rPr>
              <w:t>108.08</w:t>
            </w:r>
          </w:p>
        </w:tc>
        <w:tc>
          <w:tcPr>
            <w:tcW w:w="1511" w:type="dxa"/>
            <w:vMerge/>
            <w:vAlign w:val="center"/>
          </w:tcPr>
          <w:p w14:paraId="3875D5BC" w14:textId="77777777" w:rsidR="00A50C82" w:rsidRPr="001624E0" w:rsidRDefault="00A50C82" w:rsidP="00BA14A2">
            <w:pPr>
              <w:autoSpaceDE w:val="0"/>
              <w:autoSpaceDN w:val="0"/>
              <w:adjustRightInd w:val="0"/>
              <w:spacing w:line="252" w:lineRule="auto"/>
              <w:jc w:val="center"/>
              <w:rPr>
                <w:rFonts w:asciiTheme="majorBidi" w:hAnsiTheme="majorBidi" w:cstheme="majorBidi"/>
                <w:sz w:val="20"/>
                <w:szCs w:val="20"/>
              </w:rPr>
            </w:pPr>
          </w:p>
        </w:tc>
      </w:tr>
    </w:tbl>
    <w:p w14:paraId="1ED6815E" w14:textId="77777777" w:rsidR="005922A7" w:rsidRDefault="005922A7" w:rsidP="00BA14A2">
      <w:pPr>
        <w:spacing w:after="0" w:line="252" w:lineRule="auto"/>
        <w:jc w:val="both"/>
        <w:rPr>
          <w:rFonts w:asciiTheme="majorBidi" w:hAnsiTheme="majorBidi" w:cstheme="majorBidi"/>
          <w:sz w:val="24"/>
          <w:szCs w:val="24"/>
        </w:rPr>
      </w:pPr>
    </w:p>
    <w:p w14:paraId="4E7731D1" w14:textId="65A5A5CC" w:rsidR="00A50C82" w:rsidRPr="00A23055" w:rsidRDefault="00A50C82" w:rsidP="00BA14A2">
      <w:pPr>
        <w:spacing w:after="0" w:line="252" w:lineRule="auto"/>
        <w:jc w:val="both"/>
        <w:rPr>
          <w:rFonts w:asciiTheme="majorBidi" w:hAnsiTheme="majorBidi" w:cstheme="majorBidi"/>
          <w:sz w:val="24"/>
          <w:szCs w:val="24"/>
        </w:rPr>
      </w:pPr>
    </w:p>
    <w:tbl>
      <w:tblPr>
        <w:tblW w:w="0" w:type="auto"/>
        <w:tblInd w:w="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5"/>
      </w:tblGrid>
      <w:tr w:rsidR="005922A7" w14:paraId="2C2426E4" w14:textId="77777777" w:rsidTr="005922A7">
        <w:trPr>
          <w:trHeight w:val="3510"/>
        </w:trPr>
        <w:tc>
          <w:tcPr>
            <w:tcW w:w="6045" w:type="dxa"/>
          </w:tcPr>
          <w:p w14:paraId="40BCF588" w14:textId="285F7A80" w:rsidR="005922A7" w:rsidRDefault="005922A7" w:rsidP="005922A7">
            <w:pPr>
              <w:spacing w:after="0" w:line="252" w:lineRule="auto"/>
              <w:jc w:val="center"/>
              <w:rPr>
                <w:rFonts w:asciiTheme="majorBidi" w:hAnsiTheme="majorBidi" w:cstheme="majorBidi"/>
                <w:sz w:val="24"/>
                <w:szCs w:val="24"/>
              </w:rPr>
            </w:pPr>
            <w:r w:rsidRPr="00A23055">
              <w:rPr>
                <w:rFonts w:asciiTheme="majorBidi" w:hAnsiTheme="majorBidi" w:cstheme="majorBidi"/>
                <w:sz w:val="24"/>
                <w:szCs w:val="24"/>
              </w:rPr>
              <w:object w:dxaOrig="6476" w:dyaOrig="4564" w14:anchorId="14A9DD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169.8pt" o:ole="" o:bordertopcolor="this" o:borderleftcolor="this" o:borderbottomcolor="this" o:borderrightcolor="this">
                  <v:imagedata r:id="rId12" o:title=""/>
                </v:shape>
                <o:OLEObject Type="Embed" ProgID="Prism8.Document" ShapeID="_x0000_i1025" DrawAspect="Content" ObjectID="_1843893489" r:id="rId13"/>
              </w:object>
            </w:r>
          </w:p>
        </w:tc>
      </w:tr>
    </w:tbl>
    <w:p w14:paraId="7A5742F7" w14:textId="77777777" w:rsidR="005922A7" w:rsidRPr="00A23055" w:rsidRDefault="005922A7" w:rsidP="00BA14A2">
      <w:pPr>
        <w:spacing w:after="0" w:line="252" w:lineRule="auto"/>
        <w:jc w:val="center"/>
        <w:rPr>
          <w:rFonts w:asciiTheme="majorBidi" w:hAnsiTheme="majorBidi" w:cstheme="majorBidi"/>
          <w:sz w:val="24"/>
          <w:szCs w:val="24"/>
        </w:rPr>
      </w:pPr>
    </w:p>
    <w:p w14:paraId="3293C64A" w14:textId="0DC9D29B" w:rsidR="00765559" w:rsidRPr="009065C2" w:rsidRDefault="00AE69BD" w:rsidP="00BA14A2">
      <w:pPr>
        <w:spacing w:after="0" w:line="252" w:lineRule="auto"/>
        <w:jc w:val="center"/>
        <w:rPr>
          <w:rFonts w:asciiTheme="majorBidi" w:hAnsiTheme="majorBidi" w:cstheme="majorBidi"/>
          <w:b/>
          <w:bCs/>
          <w:sz w:val="20"/>
          <w:szCs w:val="20"/>
        </w:rPr>
      </w:pPr>
      <w:r w:rsidRPr="009065C2">
        <w:rPr>
          <w:rFonts w:asciiTheme="majorBidi" w:hAnsiTheme="majorBidi" w:cstheme="majorBidi"/>
          <w:b/>
          <w:bCs/>
          <w:sz w:val="20"/>
          <w:szCs w:val="20"/>
        </w:rPr>
        <w:t>Figure</w:t>
      </w:r>
      <w:r w:rsidR="00145042" w:rsidRPr="009065C2">
        <w:rPr>
          <w:rFonts w:asciiTheme="majorBidi" w:hAnsiTheme="majorBidi" w:cstheme="majorBidi"/>
          <w:b/>
          <w:bCs/>
          <w:sz w:val="20"/>
          <w:szCs w:val="20"/>
        </w:rPr>
        <w:t xml:space="preserve"> </w:t>
      </w:r>
      <w:r w:rsidR="009065C2" w:rsidRPr="009065C2">
        <w:rPr>
          <w:rFonts w:asciiTheme="majorBidi" w:hAnsiTheme="majorBidi" w:cstheme="majorBidi"/>
          <w:b/>
          <w:bCs/>
          <w:sz w:val="20"/>
          <w:szCs w:val="20"/>
        </w:rPr>
        <w:t>(</w:t>
      </w:r>
      <w:r w:rsidR="00145042" w:rsidRPr="009065C2">
        <w:rPr>
          <w:rFonts w:asciiTheme="majorBidi" w:hAnsiTheme="majorBidi" w:cstheme="majorBidi"/>
          <w:b/>
          <w:bCs/>
          <w:sz w:val="20"/>
          <w:szCs w:val="20"/>
        </w:rPr>
        <w:t>1</w:t>
      </w:r>
      <w:r w:rsidR="009065C2" w:rsidRPr="009065C2">
        <w:rPr>
          <w:rFonts w:asciiTheme="majorBidi" w:hAnsiTheme="majorBidi" w:cstheme="majorBidi"/>
          <w:b/>
          <w:bCs/>
          <w:sz w:val="20"/>
          <w:szCs w:val="20"/>
        </w:rPr>
        <w:t>)</w:t>
      </w:r>
      <w:r w:rsidR="00006549" w:rsidRPr="009065C2">
        <w:rPr>
          <w:rFonts w:asciiTheme="majorBidi" w:hAnsiTheme="majorBidi" w:cstheme="majorBidi"/>
          <w:b/>
          <w:bCs/>
          <w:sz w:val="20"/>
          <w:szCs w:val="20"/>
        </w:rPr>
        <w:t xml:space="preserve">: </w:t>
      </w:r>
      <w:r w:rsidRPr="009065C2">
        <w:rPr>
          <w:rFonts w:asciiTheme="majorBidi" w:hAnsiTheme="majorBidi" w:cstheme="majorBidi"/>
          <w:b/>
          <w:bCs/>
          <w:sz w:val="20"/>
          <w:szCs w:val="20"/>
        </w:rPr>
        <w:t>Difference in Mean and SD</w:t>
      </w:r>
      <w:r w:rsidR="00006549" w:rsidRPr="009065C2">
        <w:rPr>
          <w:rFonts w:asciiTheme="majorBidi" w:hAnsiTheme="majorBidi" w:cstheme="majorBidi"/>
          <w:b/>
          <w:bCs/>
          <w:sz w:val="20"/>
          <w:szCs w:val="20"/>
        </w:rPr>
        <w:t xml:space="preserve"> among study group</w:t>
      </w:r>
      <w:r w:rsidR="00145042" w:rsidRPr="009065C2">
        <w:rPr>
          <w:rFonts w:asciiTheme="majorBidi" w:hAnsiTheme="majorBidi" w:cstheme="majorBidi"/>
          <w:b/>
          <w:bCs/>
          <w:sz w:val="20"/>
          <w:szCs w:val="20"/>
        </w:rPr>
        <w:t>s</w:t>
      </w:r>
      <w:r w:rsidR="00006549" w:rsidRPr="009065C2">
        <w:rPr>
          <w:rFonts w:asciiTheme="majorBidi" w:hAnsiTheme="majorBidi" w:cstheme="majorBidi"/>
          <w:b/>
          <w:bCs/>
          <w:sz w:val="20"/>
          <w:szCs w:val="20"/>
        </w:rPr>
        <w:t xml:space="preserve"> in Anti-TPO level</w:t>
      </w:r>
      <w:r w:rsidR="009065C2" w:rsidRPr="009065C2">
        <w:rPr>
          <w:rFonts w:asciiTheme="majorBidi" w:hAnsiTheme="majorBidi" w:cstheme="majorBidi"/>
          <w:b/>
          <w:bCs/>
          <w:sz w:val="20"/>
          <w:szCs w:val="20"/>
        </w:rPr>
        <w:t>.</w:t>
      </w:r>
    </w:p>
    <w:p w14:paraId="5446AF2A" w14:textId="77777777" w:rsidR="009065C2" w:rsidRDefault="009065C2" w:rsidP="00BA14A2">
      <w:pPr>
        <w:spacing w:after="0" w:line="252" w:lineRule="auto"/>
        <w:jc w:val="both"/>
        <w:rPr>
          <w:rFonts w:asciiTheme="majorBidi" w:hAnsiTheme="majorBidi" w:cstheme="majorBidi"/>
          <w:sz w:val="24"/>
          <w:szCs w:val="24"/>
        </w:rPr>
      </w:pPr>
    </w:p>
    <w:p w14:paraId="28260409" w14:textId="77777777" w:rsidR="00E0443D" w:rsidRDefault="00E0443D" w:rsidP="00BA14A2">
      <w:pPr>
        <w:spacing w:after="0" w:line="252" w:lineRule="auto"/>
        <w:ind w:firstLine="426"/>
        <w:jc w:val="both"/>
        <w:rPr>
          <w:rFonts w:asciiTheme="majorBidi" w:hAnsiTheme="majorBidi" w:cstheme="majorBidi"/>
          <w:sz w:val="24"/>
          <w:szCs w:val="24"/>
        </w:rPr>
        <w:sectPr w:rsidR="00E0443D" w:rsidSect="009F0C04">
          <w:type w:val="continuous"/>
          <w:pgSz w:w="11906" w:h="16838" w:code="9"/>
          <w:pgMar w:top="1701" w:right="1701" w:bottom="1701" w:left="1701" w:header="720" w:footer="720" w:gutter="0"/>
          <w:cols w:space="720"/>
          <w:titlePg/>
          <w:docGrid w:linePitch="360"/>
        </w:sectPr>
      </w:pPr>
    </w:p>
    <w:p w14:paraId="3C53F20B" w14:textId="6D08F1E1" w:rsidR="00BA14A2" w:rsidRPr="00C6335B" w:rsidRDefault="00765559" w:rsidP="0005368D">
      <w:pPr>
        <w:spacing w:after="0" w:line="252" w:lineRule="auto"/>
        <w:ind w:firstLine="426"/>
        <w:jc w:val="both"/>
        <w:rPr>
          <w:rFonts w:asciiTheme="majorBidi" w:hAnsiTheme="majorBidi" w:cstheme="majorBidi"/>
          <w:color w:val="000000" w:themeColor="text1"/>
          <w:sz w:val="24"/>
          <w:szCs w:val="24"/>
        </w:rPr>
      </w:pPr>
      <w:r w:rsidRPr="00A23055">
        <w:rPr>
          <w:rFonts w:asciiTheme="majorBidi" w:hAnsiTheme="majorBidi" w:cstheme="majorBidi"/>
          <w:sz w:val="24"/>
          <w:szCs w:val="24"/>
        </w:rPr>
        <w:t xml:space="preserve">The marked elevation of Anti-TPO antibody levels strongly supports the presence of an active autoimmune response directed against thyroid tissue in individuals with autoimmune thyroid disorders. These findings underscore the diagnostic significance of </w:t>
      </w:r>
      <w:r w:rsidR="00145042" w:rsidRPr="00A23055">
        <w:rPr>
          <w:rFonts w:asciiTheme="majorBidi" w:hAnsiTheme="majorBidi" w:cstheme="majorBidi"/>
          <w:sz w:val="24"/>
          <w:szCs w:val="24"/>
        </w:rPr>
        <w:t>a</w:t>
      </w:r>
      <w:r w:rsidRPr="00A23055">
        <w:rPr>
          <w:rFonts w:asciiTheme="majorBidi" w:hAnsiTheme="majorBidi" w:cstheme="majorBidi"/>
          <w:sz w:val="24"/>
          <w:szCs w:val="24"/>
        </w:rPr>
        <w:t>nti-TPO levels in identifying these conditions</w:t>
      </w:r>
      <w:r w:rsidR="00DB422E">
        <w:rPr>
          <w:rFonts w:asciiTheme="majorBidi" w:hAnsiTheme="majorBidi" w:cstheme="majorBidi"/>
          <w:sz w:val="24"/>
          <w:szCs w:val="24"/>
        </w:rPr>
        <w:t xml:space="preserve"> </w:t>
      </w:r>
      <w:r w:rsidR="00DB422E" w:rsidRPr="00C6335B">
        <w:rPr>
          <w:rFonts w:asciiTheme="majorBidi" w:hAnsiTheme="majorBidi" w:cstheme="majorBidi"/>
          <w:color w:val="000000" w:themeColor="text1"/>
          <w:sz w:val="24"/>
          <w:szCs w:val="24"/>
        </w:rPr>
        <w:t>including inflammation, damage and cytokine production that increased immune response against thyroid gland</w:t>
      </w:r>
      <w:r w:rsidRPr="00C6335B">
        <w:rPr>
          <w:rFonts w:asciiTheme="majorBidi" w:hAnsiTheme="majorBidi" w:cstheme="majorBidi"/>
          <w:color w:val="000000" w:themeColor="text1"/>
          <w:sz w:val="24"/>
          <w:szCs w:val="24"/>
        </w:rPr>
        <w:t>.</w:t>
      </w:r>
    </w:p>
    <w:p w14:paraId="1D8A037F" w14:textId="77777777" w:rsidR="0005368D" w:rsidRPr="00C6335B" w:rsidRDefault="0005368D" w:rsidP="0005368D">
      <w:pPr>
        <w:spacing w:after="0" w:line="252" w:lineRule="auto"/>
        <w:ind w:firstLine="426"/>
        <w:jc w:val="both"/>
        <w:rPr>
          <w:rFonts w:asciiTheme="majorBidi" w:hAnsiTheme="majorBidi" w:cstheme="majorBidi"/>
          <w:color w:val="000000" w:themeColor="text1"/>
          <w:sz w:val="24"/>
          <w:szCs w:val="24"/>
        </w:rPr>
      </w:pPr>
    </w:p>
    <w:p w14:paraId="08C37B7D" w14:textId="77777777" w:rsidR="00006549" w:rsidRPr="00C6335B" w:rsidRDefault="00A018AD" w:rsidP="00BA14A2">
      <w:pPr>
        <w:spacing w:after="0" w:line="252" w:lineRule="auto"/>
        <w:jc w:val="both"/>
        <w:rPr>
          <w:rFonts w:asciiTheme="majorBidi" w:hAnsiTheme="majorBidi" w:cstheme="majorBidi"/>
          <w:b/>
          <w:bCs/>
          <w:color w:val="000000" w:themeColor="text1"/>
          <w:sz w:val="24"/>
          <w:szCs w:val="24"/>
        </w:rPr>
      </w:pPr>
      <w:r w:rsidRPr="00C6335B">
        <w:rPr>
          <w:rFonts w:asciiTheme="majorBidi" w:hAnsiTheme="majorBidi" w:cstheme="majorBidi"/>
          <w:b/>
          <w:bCs/>
          <w:color w:val="000000" w:themeColor="text1"/>
          <w:sz w:val="24"/>
          <w:szCs w:val="24"/>
        </w:rPr>
        <w:t>4</w:t>
      </w:r>
      <w:r w:rsidR="00006549" w:rsidRPr="00C6335B">
        <w:rPr>
          <w:rFonts w:asciiTheme="majorBidi" w:hAnsiTheme="majorBidi" w:cstheme="majorBidi"/>
          <w:b/>
          <w:bCs/>
          <w:color w:val="000000" w:themeColor="text1"/>
          <w:sz w:val="24"/>
          <w:szCs w:val="24"/>
        </w:rPr>
        <w:t xml:space="preserve">. IL-10 Serum Level </w:t>
      </w:r>
    </w:p>
    <w:p w14:paraId="4E651618" w14:textId="75D35D82" w:rsidR="00006549" w:rsidRDefault="00006549" w:rsidP="00BA14A2">
      <w:pPr>
        <w:spacing w:after="0" w:line="252" w:lineRule="auto"/>
        <w:ind w:firstLine="426"/>
        <w:jc w:val="both"/>
        <w:rPr>
          <w:rFonts w:asciiTheme="majorBidi" w:hAnsiTheme="majorBidi" w:cstheme="majorBidi"/>
          <w:sz w:val="24"/>
          <w:szCs w:val="24"/>
        </w:rPr>
      </w:pPr>
      <w:r w:rsidRPr="00C6335B">
        <w:rPr>
          <w:rFonts w:asciiTheme="majorBidi" w:hAnsiTheme="majorBidi" w:cstheme="majorBidi"/>
          <w:color w:val="000000" w:themeColor="text1"/>
          <w:sz w:val="24"/>
          <w:szCs w:val="24"/>
        </w:rPr>
        <w:t xml:space="preserve">The study results demonstrated no statistically significant difference in mean levels of the anti-inflammatory </w:t>
      </w:r>
      <w:r w:rsidRPr="00C6335B">
        <w:rPr>
          <w:rFonts w:asciiTheme="majorBidi" w:hAnsiTheme="majorBidi" w:cstheme="majorBidi"/>
          <w:color w:val="000000" w:themeColor="text1"/>
          <w:sz w:val="24"/>
          <w:szCs w:val="24"/>
        </w:rPr>
        <w:lastRenderedPageBreak/>
        <w:t xml:space="preserve">cytokine IL-10 between the group of patients with thyroid disorders and the </w:t>
      </w:r>
      <w:r w:rsidRPr="00A23055">
        <w:rPr>
          <w:rFonts w:asciiTheme="majorBidi" w:hAnsiTheme="majorBidi" w:cstheme="majorBidi"/>
          <w:sz w:val="24"/>
          <w:szCs w:val="24"/>
        </w:rPr>
        <w:t xml:space="preserve">healthy control group. The mean IL-10 level in the patient group was </w:t>
      </w:r>
      <w:r w:rsidRPr="009065C2">
        <w:rPr>
          <w:rFonts w:asciiTheme="majorBidi" w:hAnsiTheme="majorBidi" w:cstheme="majorBidi"/>
          <w:sz w:val="24"/>
          <w:szCs w:val="24"/>
        </w:rPr>
        <w:t xml:space="preserve">34.85 ± </w:t>
      </w:r>
      <w:r w:rsidRPr="009065C2">
        <w:rPr>
          <w:rFonts w:asciiTheme="majorBidi" w:hAnsiTheme="majorBidi" w:cstheme="majorBidi"/>
          <w:sz w:val="24"/>
          <w:szCs w:val="24"/>
        </w:rPr>
        <w:t>14.78, while in the control group</w:t>
      </w:r>
      <w:r w:rsidR="004C7BD9" w:rsidRPr="009065C2">
        <w:rPr>
          <w:rFonts w:asciiTheme="majorBidi" w:hAnsiTheme="majorBidi" w:cstheme="majorBidi"/>
          <w:sz w:val="24"/>
          <w:szCs w:val="24"/>
        </w:rPr>
        <w:t>,</w:t>
      </w:r>
      <w:r w:rsidRPr="009065C2">
        <w:rPr>
          <w:rFonts w:asciiTheme="majorBidi" w:hAnsiTheme="majorBidi" w:cstheme="majorBidi"/>
          <w:sz w:val="24"/>
          <w:szCs w:val="24"/>
        </w:rPr>
        <w:t xml:space="preserve"> it wa</w:t>
      </w:r>
      <w:r w:rsidR="0095535C" w:rsidRPr="009065C2">
        <w:rPr>
          <w:rFonts w:asciiTheme="majorBidi" w:hAnsiTheme="majorBidi" w:cstheme="majorBidi"/>
          <w:sz w:val="24"/>
          <w:szCs w:val="24"/>
        </w:rPr>
        <w:t>s 36.78 ± 17.28 (p-value = 0.5) as show</w:t>
      </w:r>
      <w:r w:rsidR="004C7BD9" w:rsidRPr="009065C2">
        <w:rPr>
          <w:rFonts w:asciiTheme="majorBidi" w:hAnsiTheme="majorBidi" w:cstheme="majorBidi"/>
          <w:sz w:val="24"/>
          <w:szCs w:val="24"/>
        </w:rPr>
        <w:t>n</w:t>
      </w:r>
      <w:r w:rsidR="0095535C" w:rsidRPr="009065C2">
        <w:rPr>
          <w:rFonts w:asciiTheme="majorBidi" w:hAnsiTheme="majorBidi" w:cstheme="majorBidi"/>
          <w:sz w:val="24"/>
          <w:szCs w:val="24"/>
        </w:rPr>
        <w:t xml:space="preserve"> in </w:t>
      </w:r>
      <w:r w:rsidR="009065C2" w:rsidRPr="009065C2">
        <w:rPr>
          <w:rFonts w:asciiTheme="majorBidi" w:hAnsiTheme="majorBidi" w:cstheme="majorBidi"/>
          <w:sz w:val="24"/>
          <w:szCs w:val="24"/>
        </w:rPr>
        <w:t>(</w:t>
      </w:r>
      <w:r w:rsidR="0095535C" w:rsidRPr="009065C2">
        <w:rPr>
          <w:rFonts w:asciiTheme="majorBidi" w:hAnsiTheme="majorBidi" w:cstheme="majorBidi"/>
          <w:sz w:val="24"/>
          <w:szCs w:val="24"/>
        </w:rPr>
        <w:t xml:space="preserve">Table 5 and </w:t>
      </w:r>
      <w:r w:rsidR="004C7BD9" w:rsidRPr="009065C2">
        <w:rPr>
          <w:rFonts w:asciiTheme="majorBidi" w:hAnsiTheme="majorBidi" w:cstheme="majorBidi"/>
          <w:sz w:val="24"/>
          <w:szCs w:val="24"/>
        </w:rPr>
        <w:t>F</w:t>
      </w:r>
      <w:r w:rsidR="0095535C" w:rsidRPr="009065C2">
        <w:rPr>
          <w:rFonts w:asciiTheme="majorBidi" w:hAnsiTheme="majorBidi" w:cstheme="majorBidi"/>
          <w:sz w:val="24"/>
          <w:szCs w:val="24"/>
        </w:rPr>
        <w:t>igure 2</w:t>
      </w:r>
      <w:r w:rsidR="009065C2" w:rsidRPr="009065C2">
        <w:rPr>
          <w:rFonts w:asciiTheme="majorBidi" w:hAnsiTheme="majorBidi" w:cstheme="majorBidi"/>
          <w:sz w:val="24"/>
          <w:szCs w:val="24"/>
        </w:rPr>
        <w:t>)</w:t>
      </w:r>
      <w:r w:rsidR="0095535C" w:rsidRPr="009065C2">
        <w:rPr>
          <w:rFonts w:asciiTheme="majorBidi" w:hAnsiTheme="majorBidi" w:cstheme="majorBidi"/>
          <w:sz w:val="24"/>
          <w:szCs w:val="24"/>
        </w:rPr>
        <w:t>.</w:t>
      </w:r>
    </w:p>
    <w:p w14:paraId="184BEBE3" w14:textId="7EE5B544" w:rsidR="00E0443D" w:rsidRPr="0061198D" w:rsidRDefault="00E0443D" w:rsidP="009065C2">
      <w:pPr>
        <w:spacing w:after="0" w:line="240" w:lineRule="auto"/>
        <w:ind w:firstLine="426"/>
        <w:jc w:val="both"/>
        <w:rPr>
          <w:rFonts w:asciiTheme="majorBidi" w:hAnsiTheme="majorBidi" w:cstheme="majorBidi"/>
          <w:sz w:val="8"/>
          <w:szCs w:val="8"/>
        </w:rPr>
      </w:pPr>
    </w:p>
    <w:p w14:paraId="4D67FDD2" w14:textId="77777777" w:rsidR="0061198D" w:rsidRPr="0061198D" w:rsidRDefault="0061198D" w:rsidP="009065C2">
      <w:pPr>
        <w:spacing w:after="0" w:line="240" w:lineRule="auto"/>
        <w:ind w:firstLine="426"/>
        <w:jc w:val="both"/>
        <w:rPr>
          <w:rFonts w:asciiTheme="majorBidi" w:hAnsiTheme="majorBidi" w:cstheme="majorBidi"/>
          <w:sz w:val="8"/>
          <w:szCs w:val="8"/>
        </w:rPr>
        <w:sectPr w:rsidR="0061198D" w:rsidRPr="0061198D" w:rsidSect="00E0443D">
          <w:type w:val="continuous"/>
          <w:pgSz w:w="11906" w:h="16838" w:code="9"/>
          <w:pgMar w:top="1701" w:right="1701" w:bottom="1701" w:left="1701" w:header="720" w:footer="720" w:gutter="0"/>
          <w:cols w:num="2" w:space="720"/>
          <w:titlePg/>
          <w:docGrid w:linePitch="360"/>
        </w:sectPr>
      </w:pPr>
    </w:p>
    <w:p w14:paraId="170D6C97" w14:textId="71479F88" w:rsidR="00251BC8" w:rsidRPr="00C6335B" w:rsidRDefault="00251BC8" w:rsidP="00802065">
      <w:pPr>
        <w:spacing w:after="0" w:line="240" w:lineRule="auto"/>
        <w:jc w:val="center"/>
        <w:rPr>
          <w:rFonts w:asciiTheme="majorBidi" w:hAnsiTheme="majorBidi" w:cstheme="majorBidi"/>
          <w:b/>
          <w:bCs/>
          <w:color w:val="000000" w:themeColor="text1"/>
          <w:sz w:val="20"/>
          <w:szCs w:val="20"/>
        </w:rPr>
      </w:pPr>
      <w:r w:rsidRPr="009065C2">
        <w:rPr>
          <w:rFonts w:asciiTheme="majorBidi" w:hAnsiTheme="majorBidi" w:cstheme="majorBidi"/>
          <w:b/>
          <w:bCs/>
          <w:sz w:val="20"/>
          <w:szCs w:val="20"/>
        </w:rPr>
        <w:t>Table</w:t>
      </w:r>
      <w:r w:rsidR="004C7BD9" w:rsidRPr="009065C2">
        <w:rPr>
          <w:rFonts w:asciiTheme="majorBidi" w:hAnsiTheme="majorBidi" w:cstheme="majorBidi"/>
          <w:b/>
          <w:bCs/>
          <w:sz w:val="20"/>
          <w:szCs w:val="20"/>
        </w:rPr>
        <w:t xml:space="preserve"> </w:t>
      </w:r>
      <w:r w:rsidR="009065C2" w:rsidRPr="009065C2">
        <w:rPr>
          <w:rFonts w:asciiTheme="majorBidi" w:hAnsiTheme="majorBidi" w:cstheme="majorBidi"/>
          <w:b/>
          <w:bCs/>
          <w:sz w:val="20"/>
          <w:szCs w:val="20"/>
        </w:rPr>
        <w:t>(</w:t>
      </w:r>
      <w:r w:rsidR="0095535C" w:rsidRPr="009065C2">
        <w:rPr>
          <w:rFonts w:asciiTheme="majorBidi" w:hAnsiTheme="majorBidi" w:cstheme="majorBidi"/>
          <w:b/>
          <w:bCs/>
          <w:sz w:val="20"/>
          <w:szCs w:val="20"/>
        </w:rPr>
        <w:t>5</w:t>
      </w:r>
      <w:r w:rsidR="009065C2" w:rsidRPr="009065C2">
        <w:rPr>
          <w:rFonts w:asciiTheme="majorBidi" w:hAnsiTheme="majorBidi" w:cstheme="majorBidi"/>
          <w:b/>
          <w:bCs/>
          <w:sz w:val="20"/>
          <w:szCs w:val="20"/>
        </w:rPr>
        <w:t>)</w:t>
      </w:r>
      <w:r w:rsidRPr="009065C2">
        <w:rPr>
          <w:rFonts w:asciiTheme="majorBidi" w:hAnsiTheme="majorBidi" w:cstheme="majorBidi"/>
          <w:b/>
          <w:bCs/>
          <w:sz w:val="20"/>
          <w:szCs w:val="20"/>
        </w:rPr>
        <w:t xml:space="preserve">: </w:t>
      </w:r>
      <w:r w:rsidR="00802065" w:rsidRPr="00C6335B">
        <w:rPr>
          <w:rFonts w:asciiTheme="majorBidi" w:eastAsia="Calibri" w:hAnsiTheme="majorBidi" w:cstheme="majorBidi"/>
          <w:b/>
          <w:bCs/>
          <w:color w:val="000000" w:themeColor="text1"/>
          <w:sz w:val="20"/>
          <w:szCs w:val="20"/>
        </w:rPr>
        <w:t xml:space="preserve">Serum </w:t>
      </w:r>
      <w:r w:rsidR="00802065" w:rsidRPr="00C6335B">
        <w:rPr>
          <w:rFonts w:asciiTheme="majorBidi" w:hAnsiTheme="majorBidi" w:cstheme="majorBidi"/>
          <w:b/>
          <w:bCs/>
          <w:color w:val="000000" w:themeColor="text1"/>
          <w:sz w:val="20"/>
          <w:szCs w:val="20"/>
        </w:rPr>
        <w:t>IL-10 levels</w:t>
      </w:r>
      <w:r w:rsidR="00802065" w:rsidRPr="00C6335B">
        <w:rPr>
          <w:rFonts w:asciiTheme="majorBidi" w:eastAsia="Calibri" w:hAnsiTheme="majorBidi" w:cstheme="majorBidi"/>
          <w:b/>
          <w:bCs/>
          <w:color w:val="000000" w:themeColor="text1"/>
          <w:sz w:val="20"/>
          <w:szCs w:val="20"/>
        </w:rPr>
        <w:t xml:space="preserve"> among studied groups</w:t>
      </w:r>
      <w:r w:rsidR="00802065" w:rsidRPr="00C6335B">
        <w:rPr>
          <w:rFonts w:asciiTheme="majorBidi" w:hAnsiTheme="majorBidi" w:cstheme="majorBidi"/>
          <w:b/>
          <w:bCs/>
          <w:color w:val="000000" w:themeColor="text1"/>
          <w:sz w:val="20"/>
          <w:szCs w:val="20"/>
        </w:rPr>
        <w:t>.</w:t>
      </w:r>
    </w:p>
    <w:tbl>
      <w:tblPr>
        <w:tblStyle w:val="TableGrid"/>
        <w:tblW w:w="7662" w:type="dxa"/>
        <w:jc w:val="center"/>
        <w:tblLayout w:type="fixed"/>
        <w:tblLook w:val="0000" w:firstRow="0" w:lastRow="0" w:firstColumn="0" w:lastColumn="0" w:noHBand="0" w:noVBand="0"/>
      </w:tblPr>
      <w:tblGrid>
        <w:gridCol w:w="1491"/>
        <w:gridCol w:w="1209"/>
        <w:gridCol w:w="1170"/>
        <w:gridCol w:w="1350"/>
        <w:gridCol w:w="1350"/>
        <w:gridCol w:w="1092"/>
      </w:tblGrid>
      <w:tr w:rsidR="00C6335B" w:rsidRPr="00C6335B" w14:paraId="18EA3AA8" w14:textId="77777777" w:rsidTr="009065C2">
        <w:trPr>
          <w:jc w:val="center"/>
        </w:trPr>
        <w:tc>
          <w:tcPr>
            <w:tcW w:w="1491" w:type="dxa"/>
            <w:shd w:val="clear" w:color="auto" w:fill="D9D9D9" w:themeFill="background1" w:themeFillShade="D9"/>
            <w:vAlign w:val="center"/>
          </w:tcPr>
          <w:p w14:paraId="14708BA6" w14:textId="341B6764" w:rsidR="00251BC8" w:rsidRPr="00C6335B" w:rsidRDefault="00006549" w:rsidP="009065C2">
            <w:pPr>
              <w:autoSpaceDE w:val="0"/>
              <w:autoSpaceDN w:val="0"/>
              <w:adjustRightInd w:val="0"/>
              <w:jc w:val="center"/>
              <w:rPr>
                <w:rFonts w:asciiTheme="majorBidi" w:hAnsiTheme="majorBidi" w:cstheme="majorBidi"/>
                <w:b/>
                <w:bCs/>
                <w:color w:val="000000" w:themeColor="text1"/>
                <w:sz w:val="20"/>
                <w:szCs w:val="20"/>
              </w:rPr>
            </w:pPr>
            <w:r w:rsidRPr="00C6335B">
              <w:rPr>
                <w:rFonts w:asciiTheme="majorBidi" w:hAnsiTheme="majorBidi" w:cstheme="majorBidi"/>
                <w:b/>
                <w:bCs/>
                <w:color w:val="000000" w:themeColor="text1"/>
                <w:sz w:val="20"/>
                <w:szCs w:val="20"/>
              </w:rPr>
              <w:t>Parameters</w:t>
            </w:r>
          </w:p>
        </w:tc>
        <w:tc>
          <w:tcPr>
            <w:tcW w:w="1209" w:type="dxa"/>
            <w:shd w:val="clear" w:color="auto" w:fill="D9D9D9" w:themeFill="background1" w:themeFillShade="D9"/>
            <w:vAlign w:val="center"/>
          </w:tcPr>
          <w:p w14:paraId="3CAA25E3" w14:textId="77777777" w:rsidR="00006549" w:rsidRPr="00C6335B" w:rsidRDefault="00251BC8" w:rsidP="009065C2">
            <w:pPr>
              <w:autoSpaceDE w:val="0"/>
              <w:autoSpaceDN w:val="0"/>
              <w:adjustRightInd w:val="0"/>
              <w:jc w:val="center"/>
              <w:rPr>
                <w:rFonts w:asciiTheme="majorBidi" w:hAnsiTheme="majorBidi" w:cstheme="majorBidi"/>
                <w:b/>
                <w:bCs/>
                <w:color w:val="000000" w:themeColor="text1"/>
                <w:sz w:val="20"/>
                <w:szCs w:val="20"/>
              </w:rPr>
            </w:pPr>
            <w:r w:rsidRPr="00C6335B">
              <w:rPr>
                <w:rFonts w:asciiTheme="majorBidi" w:hAnsiTheme="majorBidi" w:cstheme="majorBidi"/>
                <w:b/>
                <w:bCs/>
                <w:color w:val="000000" w:themeColor="text1"/>
                <w:sz w:val="20"/>
                <w:szCs w:val="20"/>
              </w:rPr>
              <w:t>G</w:t>
            </w:r>
            <w:r w:rsidR="00006549" w:rsidRPr="00C6335B">
              <w:rPr>
                <w:rFonts w:asciiTheme="majorBidi" w:hAnsiTheme="majorBidi" w:cstheme="majorBidi"/>
                <w:b/>
                <w:bCs/>
                <w:color w:val="000000" w:themeColor="text1"/>
                <w:sz w:val="20"/>
                <w:szCs w:val="20"/>
              </w:rPr>
              <w:t>roup</w:t>
            </w:r>
          </w:p>
          <w:p w14:paraId="667C5359" w14:textId="77777777" w:rsidR="00251BC8" w:rsidRPr="00C6335B" w:rsidRDefault="00251BC8" w:rsidP="009065C2">
            <w:pPr>
              <w:autoSpaceDE w:val="0"/>
              <w:autoSpaceDN w:val="0"/>
              <w:adjustRightInd w:val="0"/>
              <w:jc w:val="center"/>
              <w:rPr>
                <w:rFonts w:asciiTheme="majorBidi" w:hAnsiTheme="majorBidi" w:cstheme="majorBidi"/>
                <w:b/>
                <w:bCs/>
                <w:color w:val="000000" w:themeColor="text1"/>
                <w:sz w:val="20"/>
                <w:szCs w:val="20"/>
              </w:rPr>
            </w:pPr>
          </w:p>
        </w:tc>
        <w:tc>
          <w:tcPr>
            <w:tcW w:w="1170" w:type="dxa"/>
            <w:shd w:val="clear" w:color="auto" w:fill="D9D9D9" w:themeFill="background1" w:themeFillShade="D9"/>
            <w:vAlign w:val="center"/>
          </w:tcPr>
          <w:p w14:paraId="4A966E06" w14:textId="77777777" w:rsidR="00006549" w:rsidRPr="00C6335B" w:rsidRDefault="00006549" w:rsidP="009065C2">
            <w:pPr>
              <w:autoSpaceDE w:val="0"/>
              <w:autoSpaceDN w:val="0"/>
              <w:adjustRightInd w:val="0"/>
              <w:jc w:val="center"/>
              <w:rPr>
                <w:rFonts w:asciiTheme="majorBidi" w:hAnsiTheme="majorBidi" w:cstheme="majorBidi"/>
                <w:b/>
                <w:bCs/>
                <w:color w:val="000000" w:themeColor="text1"/>
                <w:sz w:val="20"/>
                <w:szCs w:val="20"/>
              </w:rPr>
            </w:pPr>
            <w:r w:rsidRPr="00C6335B">
              <w:rPr>
                <w:rFonts w:asciiTheme="majorBidi" w:hAnsiTheme="majorBidi" w:cstheme="majorBidi"/>
                <w:b/>
                <w:bCs/>
                <w:color w:val="000000" w:themeColor="text1"/>
                <w:sz w:val="20"/>
                <w:szCs w:val="20"/>
              </w:rPr>
              <w:t>Mean</w:t>
            </w:r>
          </w:p>
          <w:p w14:paraId="0807BD37" w14:textId="77777777" w:rsidR="00251BC8" w:rsidRPr="00C6335B" w:rsidRDefault="00251BC8" w:rsidP="009065C2">
            <w:pPr>
              <w:autoSpaceDE w:val="0"/>
              <w:autoSpaceDN w:val="0"/>
              <w:adjustRightInd w:val="0"/>
              <w:jc w:val="center"/>
              <w:rPr>
                <w:rFonts w:asciiTheme="majorBidi" w:hAnsiTheme="majorBidi" w:cstheme="majorBidi"/>
                <w:b/>
                <w:bCs/>
                <w:color w:val="000000" w:themeColor="text1"/>
                <w:sz w:val="20"/>
                <w:szCs w:val="20"/>
              </w:rPr>
            </w:pPr>
          </w:p>
        </w:tc>
        <w:tc>
          <w:tcPr>
            <w:tcW w:w="1350" w:type="dxa"/>
            <w:shd w:val="clear" w:color="auto" w:fill="D9D9D9" w:themeFill="background1" w:themeFillShade="D9"/>
            <w:vAlign w:val="center"/>
          </w:tcPr>
          <w:p w14:paraId="2BF2A313" w14:textId="77777777" w:rsidR="00006549" w:rsidRPr="00C6335B" w:rsidRDefault="00006549" w:rsidP="009065C2">
            <w:pPr>
              <w:autoSpaceDE w:val="0"/>
              <w:autoSpaceDN w:val="0"/>
              <w:adjustRightInd w:val="0"/>
              <w:jc w:val="center"/>
              <w:rPr>
                <w:rFonts w:asciiTheme="majorBidi" w:hAnsiTheme="majorBidi" w:cstheme="majorBidi"/>
                <w:b/>
                <w:bCs/>
                <w:color w:val="000000" w:themeColor="text1"/>
                <w:sz w:val="20"/>
                <w:szCs w:val="20"/>
              </w:rPr>
            </w:pPr>
            <w:r w:rsidRPr="00C6335B">
              <w:rPr>
                <w:rFonts w:asciiTheme="majorBidi" w:hAnsiTheme="majorBidi" w:cstheme="majorBidi"/>
                <w:b/>
                <w:bCs/>
                <w:color w:val="000000" w:themeColor="text1"/>
                <w:sz w:val="20"/>
                <w:szCs w:val="20"/>
              </w:rPr>
              <w:t>Std. Deviation</w:t>
            </w:r>
          </w:p>
        </w:tc>
        <w:tc>
          <w:tcPr>
            <w:tcW w:w="1350" w:type="dxa"/>
            <w:shd w:val="clear" w:color="auto" w:fill="D9D9D9" w:themeFill="background1" w:themeFillShade="D9"/>
            <w:vAlign w:val="center"/>
          </w:tcPr>
          <w:p w14:paraId="1666DD4E" w14:textId="77777777" w:rsidR="00006549" w:rsidRPr="00C6335B" w:rsidRDefault="00006549" w:rsidP="009065C2">
            <w:pPr>
              <w:autoSpaceDE w:val="0"/>
              <w:autoSpaceDN w:val="0"/>
              <w:adjustRightInd w:val="0"/>
              <w:jc w:val="center"/>
              <w:rPr>
                <w:rFonts w:asciiTheme="majorBidi" w:hAnsiTheme="majorBidi" w:cstheme="majorBidi"/>
                <w:b/>
                <w:bCs/>
                <w:color w:val="000000" w:themeColor="text1"/>
                <w:sz w:val="20"/>
                <w:szCs w:val="20"/>
              </w:rPr>
            </w:pPr>
            <w:r w:rsidRPr="00C6335B">
              <w:rPr>
                <w:rFonts w:asciiTheme="majorBidi" w:hAnsiTheme="majorBidi" w:cstheme="majorBidi"/>
                <w:b/>
                <w:bCs/>
                <w:color w:val="000000" w:themeColor="text1"/>
                <w:sz w:val="20"/>
                <w:szCs w:val="20"/>
              </w:rPr>
              <w:t>Std. Error Mean</w:t>
            </w:r>
          </w:p>
        </w:tc>
        <w:tc>
          <w:tcPr>
            <w:tcW w:w="1092" w:type="dxa"/>
            <w:shd w:val="clear" w:color="auto" w:fill="D9D9D9" w:themeFill="background1" w:themeFillShade="D9"/>
            <w:vAlign w:val="center"/>
          </w:tcPr>
          <w:p w14:paraId="0344C52B" w14:textId="65838B38" w:rsidR="00006549" w:rsidRPr="00C6335B" w:rsidRDefault="00006549" w:rsidP="009065C2">
            <w:pPr>
              <w:autoSpaceDE w:val="0"/>
              <w:autoSpaceDN w:val="0"/>
              <w:adjustRightInd w:val="0"/>
              <w:jc w:val="center"/>
              <w:rPr>
                <w:rFonts w:asciiTheme="majorBidi" w:hAnsiTheme="majorBidi" w:cstheme="majorBidi"/>
                <w:b/>
                <w:bCs/>
                <w:color w:val="000000" w:themeColor="text1"/>
                <w:sz w:val="20"/>
                <w:szCs w:val="20"/>
              </w:rPr>
            </w:pPr>
            <w:r w:rsidRPr="00C6335B">
              <w:rPr>
                <w:rFonts w:asciiTheme="majorBidi" w:hAnsiTheme="majorBidi" w:cstheme="majorBidi"/>
                <w:b/>
                <w:bCs/>
                <w:color w:val="000000" w:themeColor="text1"/>
                <w:sz w:val="20"/>
                <w:szCs w:val="20"/>
              </w:rPr>
              <w:t>P-value</w:t>
            </w:r>
          </w:p>
          <w:p w14:paraId="004CAF35" w14:textId="77777777" w:rsidR="00251BC8" w:rsidRPr="00C6335B" w:rsidRDefault="00251BC8" w:rsidP="009065C2">
            <w:pPr>
              <w:autoSpaceDE w:val="0"/>
              <w:autoSpaceDN w:val="0"/>
              <w:adjustRightInd w:val="0"/>
              <w:jc w:val="center"/>
              <w:rPr>
                <w:rFonts w:asciiTheme="majorBidi" w:hAnsiTheme="majorBidi" w:cstheme="majorBidi"/>
                <w:b/>
                <w:bCs/>
                <w:color w:val="000000" w:themeColor="text1"/>
                <w:sz w:val="20"/>
                <w:szCs w:val="20"/>
              </w:rPr>
            </w:pPr>
          </w:p>
        </w:tc>
      </w:tr>
      <w:tr w:rsidR="004C7BD9" w:rsidRPr="009065C2" w14:paraId="682C6F92" w14:textId="77777777" w:rsidTr="009065C2">
        <w:trPr>
          <w:jc w:val="center"/>
        </w:trPr>
        <w:tc>
          <w:tcPr>
            <w:tcW w:w="1491" w:type="dxa"/>
            <w:vMerge w:val="restart"/>
            <w:shd w:val="clear" w:color="auto" w:fill="D9D9D9" w:themeFill="background1" w:themeFillShade="D9"/>
            <w:vAlign w:val="center"/>
          </w:tcPr>
          <w:p w14:paraId="6CD9048F" w14:textId="1B05AFFF" w:rsidR="00006549" w:rsidRPr="009065C2" w:rsidRDefault="00006549" w:rsidP="00802065">
            <w:pPr>
              <w:autoSpaceDE w:val="0"/>
              <w:autoSpaceDN w:val="0"/>
              <w:adjustRightInd w:val="0"/>
              <w:spacing w:line="252" w:lineRule="auto"/>
              <w:jc w:val="center"/>
              <w:rPr>
                <w:rFonts w:asciiTheme="majorBidi" w:hAnsiTheme="majorBidi" w:cstheme="majorBidi"/>
                <w:b/>
                <w:bCs/>
                <w:sz w:val="20"/>
                <w:szCs w:val="20"/>
              </w:rPr>
            </w:pPr>
            <w:r w:rsidRPr="009065C2">
              <w:rPr>
                <w:rFonts w:asciiTheme="majorBidi" w:hAnsiTheme="majorBidi" w:cstheme="majorBidi"/>
                <w:b/>
                <w:bCs/>
                <w:sz w:val="20"/>
                <w:szCs w:val="20"/>
              </w:rPr>
              <w:t>IL-10</w:t>
            </w:r>
            <w:r w:rsidR="006735DC">
              <w:rPr>
                <w:rFonts w:asciiTheme="majorBidi" w:hAnsiTheme="majorBidi" w:cstheme="majorBidi"/>
                <w:b/>
                <w:bCs/>
                <w:sz w:val="20"/>
                <w:szCs w:val="20"/>
              </w:rPr>
              <w:t xml:space="preserve"> (</w:t>
            </w:r>
            <w:proofErr w:type="spellStart"/>
            <w:r w:rsidR="006735DC" w:rsidRPr="00802065">
              <w:rPr>
                <w:rFonts w:asciiTheme="majorBidi" w:hAnsiTheme="majorBidi" w:cstheme="majorBidi"/>
                <w:b/>
                <w:bCs/>
                <w:sz w:val="20"/>
                <w:szCs w:val="20"/>
              </w:rPr>
              <w:t>pg</w:t>
            </w:r>
            <w:proofErr w:type="spellEnd"/>
            <w:r w:rsidR="006735DC" w:rsidRPr="00802065">
              <w:rPr>
                <w:rFonts w:asciiTheme="majorBidi" w:hAnsiTheme="majorBidi" w:cstheme="majorBidi"/>
                <w:b/>
                <w:bCs/>
                <w:sz w:val="20"/>
                <w:szCs w:val="20"/>
              </w:rPr>
              <w:t>/ml)</w:t>
            </w:r>
          </w:p>
        </w:tc>
        <w:tc>
          <w:tcPr>
            <w:tcW w:w="1209" w:type="dxa"/>
            <w:vAlign w:val="center"/>
          </w:tcPr>
          <w:p w14:paraId="5C90C11B" w14:textId="689215EF" w:rsidR="00006549" w:rsidRPr="009065C2" w:rsidRDefault="00825521" w:rsidP="009065C2">
            <w:pPr>
              <w:autoSpaceDE w:val="0"/>
              <w:autoSpaceDN w:val="0"/>
              <w:adjustRightInd w:val="0"/>
              <w:jc w:val="center"/>
              <w:rPr>
                <w:rFonts w:asciiTheme="majorBidi" w:hAnsiTheme="majorBidi" w:cstheme="majorBidi"/>
                <w:sz w:val="20"/>
                <w:szCs w:val="20"/>
              </w:rPr>
            </w:pPr>
            <w:r>
              <w:rPr>
                <w:rFonts w:asciiTheme="majorBidi" w:hAnsiTheme="majorBidi" w:cstheme="majorBidi"/>
                <w:sz w:val="20"/>
                <w:szCs w:val="20"/>
              </w:rPr>
              <w:t>P</w:t>
            </w:r>
            <w:r w:rsidR="00006549" w:rsidRPr="009065C2">
              <w:rPr>
                <w:rFonts w:asciiTheme="majorBidi" w:hAnsiTheme="majorBidi" w:cstheme="majorBidi"/>
                <w:sz w:val="20"/>
                <w:szCs w:val="20"/>
              </w:rPr>
              <w:t>atients</w:t>
            </w:r>
          </w:p>
        </w:tc>
        <w:tc>
          <w:tcPr>
            <w:tcW w:w="1170" w:type="dxa"/>
            <w:vAlign w:val="center"/>
          </w:tcPr>
          <w:p w14:paraId="384D1D06" w14:textId="77777777" w:rsidR="00006549" w:rsidRPr="009065C2" w:rsidRDefault="00006549" w:rsidP="009065C2">
            <w:pPr>
              <w:autoSpaceDE w:val="0"/>
              <w:autoSpaceDN w:val="0"/>
              <w:adjustRightInd w:val="0"/>
              <w:jc w:val="center"/>
              <w:rPr>
                <w:rFonts w:asciiTheme="majorBidi" w:hAnsiTheme="majorBidi" w:cstheme="majorBidi"/>
                <w:sz w:val="20"/>
                <w:szCs w:val="20"/>
              </w:rPr>
            </w:pPr>
            <w:r w:rsidRPr="009065C2">
              <w:rPr>
                <w:rFonts w:asciiTheme="majorBidi" w:hAnsiTheme="majorBidi" w:cstheme="majorBidi"/>
                <w:sz w:val="20"/>
                <w:szCs w:val="20"/>
              </w:rPr>
              <w:t>34.848</w:t>
            </w:r>
          </w:p>
        </w:tc>
        <w:tc>
          <w:tcPr>
            <w:tcW w:w="1350" w:type="dxa"/>
            <w:vAlign w:val="center"/>
          </w:tcPr>
          <w:p w14:paraId="015F3E75" w14:textId="77777777" w:rsidR="00006549" w:rsidRPr="009065C2" w:rsidRDefault="00006549" w:rsidP="009065C2">
            <w:pPr>
              <w:autoSpaceDE w:val="0"/>
              <w:autoSpaceDN w:val="0"/>
              <w:adjustRightInd w:val="0"/>
              <w:jc w:val="center"/>
              <w:rPr>
                <w:rFonts w:asciiTheme="majorBidi" w:hAnsiTheme="majorBidi" w:cstheme="majorBidi"/>
                <w:sz w:val="20"/>
                <w:szCs w:val="20"/>
              </w:rPr>
            </w:pPr>
            <w:r w:rsidRPr="009065C2">
              <w:rPr>
                <w:rFonts w:asciiTheme="majorBidi" w:hAnsiTheme="majorBidi" w:cstheme="majorBidi"/>
                <w:sz w:val="20"/>
                <w:szCs w:val="20"/>
              </w:rPr>
              <w:t>14.78</w:t>
            </w:r>
          </w:p>
        </w:tc>
        <w:tc>
          <w:tcPr>
            <w:tcW w:w="1350" w:type="dxa"/>
            <w:vAlign w:val="center"/>
          </w:tcPr>
          <w:p w14:paraId="3DEBC8B9" w14:textId="77777777" w:rsidR="00006549" w:rsidRPr="009065C2" w:rsidRDefault="00006549" w:rsidP="009065C2">
            <w:pPr>
              <w:autoSpaceDE w:val="0"/>
              <w:autoSpaceDN w:val="0"/>
              <w:adjustRightInd w:val="0"/>
              <w:jc w:val="center"/>
              <w:rPr>
                <w:rFonts w:asciiTheme="majorBidi" w:hAnsiTheme="majorBidi" w:cstheme="majorBidi"/>
                <w:sz w:val="20"/>
                <w:szCs w:val="20"/>
              </w:rPr>
            </w:pPr>
            <w:r w:rsidRPr="009065C2">
              <w:rPr>
                <w:rFonts w:asciiTheme="majorBidi" w:hAnsiTheme="majorBidi" w:cstheme="majorBidi"/>
                <w:sz w:val="20"/>
                <w:szCs w:val="20"/>
              </w:rPr>
              <w:t>2.09</w:t>
            </w:r>
          </w:p>
        </w:tc>
        <w:tc>
          <w:tcPr>
            <w:tcW w:w="1092" w:type="dxa"/>
            <w:vMerge w:val="restart"/>
            <w:vAlign w:val="center"/>
          </w:tcPr>
          <w:p w14:paraId="19804038" w14:textId="77777777" w:rsidR="00006549" w:rsidRPr="009065C2" w:rsidRDefault="00006549" w:rsidP="009065C2">
            <w:pPr>
              <w:autoSpaceDE w:val="0"/>
              <w:autoSpaceDN w:val="0"/>
              <w:adjustRightInd w:val="0"/>
              <w:jc w:val="center"/>
              <w:rPr>
                <w:rFonts w:asciiTheme="majorBidi" w:hAnsiTheme="majorBidi" w:cstheme="majorBidi"/>
                <w:sz w:val="20"/>
                <w:szCs w:val="20"/>
              </w:rPr>
            </w:pPr>
            <w:r w:rsidRPr="009065C2">
              <w:rPr>
                <w:rFonts w:asciiTheme="majorBidi" w:hAnsiTheme="majorBidi" w:cstheme="majorBidi"/>
                <w:sz w:val="20"/>
                <w:szCs w:val="20"/>
              </w:rPr>
              <w:t>0.5 N.S</w:t>
            </w:r>
          </w:p>
        </w:tc>
      </w:tr>
      <w:tr w:rsidR="004C7BD9" w:rsidRPr="009065C2" w14:paraId="12165042" w14:textId="77777777" w:rsidTr="009065C2">
        <w:trPr>
          <w:jc w:val="center"/>
        </w:trPr>
        <w:tc>
          <w:tcPr>
            <w:tcW w:w="1491" w:type="dxa"/>
            <w:vMerge/>
            <w:shd w:val="clear" w:color="auto" w:fill="D9D9D9" w:themeFill="background1" w:themeFillShade="D9"/>
            <w:vAlign w:val="center"/>
          </w:tcPr>
          <w:p w14:paraId="0BC11BF8" w14:textId="77777777" w:rsidR="00006549" w:rsidRPr="009065C2" w:rsidRDefault="00006549" w:rsidP="009065C2">
            <w:pPr>
              <w:autoSpaceDE w:val="0"/>
              <w:autoSpaceDN w:val="0"/>
              <w:adjustRightInd w:val="0"/>
              <w:jc w:val="center"/>
              <w:rPr>
                <w:rFonts w:asciiTheme="majorBidi" w:hAnsiTheme="majorBidi" w:cstheme="majorBidi"/>
                <w:sz w:val="20"/>
                <w:szCs w:val="20"/>
              </w:rPr>
            </w:pPr>
          </w:p>
        </w:tc>
        <w:tc>
          <w:tcPr>
            <w:tcW w:w="1209" w:type="dxa"/>
            <w:vAlign w:val="center"/>
          </w:tcPr>
          <w:p w14:paraId="0A5AAA1A" w14:textId="7ED6B9B2" w:rsidR="00006549" w:rsidRPr="009065C2" w:rsidRDefault="00825521" w:rsidP="009065C2">
            <w:pPr>
              <w:autoSpaceDE w:val="0"/>
              <w:autoSpaceDN w:val="0"/>
              <w:adjustRightInd w:val="0"/>
              <w:jc w:val="center"/>
              <w:rPr>
                <w:rFonts w:asciiTheme="majorBidi" w:hAnsiTheme="majorBidi" w:cstheme="majorBidi"/>
                <w:sz w:val="20"/>
                <w:szCs w:val="20"/>
              </w:rPr>
            </w:pPr>
            <w:r>
              <w:rPr>
                <w:rFonts w:asciiTheme="majorBidi" w:hAnsiTheme="majorBidi" w:cstheme="majorBidi"/>
                <w:sz w:val="20"/>
                <w:szCs w:val="20"/>
              </w:rPr>
              <w:t>C</w:t>
            </w:r>
            <w:r w:rsidR="00006549" w:rsidRPr="009065C2">
              <w:rPr>
                <w:rFonts w:asciiTheme="majorBidi" w:hAnsiTheme="majorBidi" w:cstheme="majorBidi"/>
                <w:sz w:val="20"/>
                <w:szCs w:val="20"/>
              </w:rPr>
              <w:t>ontrol</w:t>
            </w:r>
          </w:p>
        </w:tc>
        <w:tc>
          <w:tcPr>
            <w:tcW w:w="1170" w:type="dxa"/>
            <w:vAlign w:val="center"/>
          </w:tcPr>
          <w:p w14:paraId="533C52FA" w14:textId="77777777" w:rsidR="00006549" w:rsidRPr="009065C2" w:rsidRDefault="00006549" w:rsidP="009065C2">
            <w:pPr>
              <w:autoSpaceDE w:val="0"/>
              <w:autoSpaceDN w:val="0"/>
              <w:adjustRightInd w:val="0"/>
              <w:jc w:val="center"/>
              <w:rPr>
                <w:rFonts w:asciiTheme="majorBidi" w:hAnsiTheme="majorBidi" w:cstheme="majorBidi"/>
                <w:sz w:val="20"/>
                <w:szCs w:val="20"/>
              </w:rPr>
            </w:pPr>
            <w:r w:rsidRPr="009065C2">
              <w:rPr>
                <w:rFonts w:asciiTheme="majorBidi" w:hAnsiTheme="majorBidi" w:cstheme="majorBidi"/>
                <w:sz w:val="20"/>
                <w:szCs w:val="20"/>
              </w:rPr>
              <w:t>36.777</w:t>
            </w:r>
          </w:p>
        </w:tc>
        <w:tc>
          <w:tcPr>
            <w:tcW w:w="1350" w:type="dxa"/>
            <w:vAlign w:val="center"/>
          </w:tcPr>
          <w:p w14:paraId="4C482F1D" w14:textId="77777777" w:rsidR="00006549" w:rsidRPr="009065C2" w:rsidRDefault="00006549" w:rsidP="009065C2">
            <w:pPr>
              <w:autoSpaceDE w:val="0"/>
              <w:autoSpaceDN w:val="0"/>
              <w:adjustRightInd w:val="0"/>
              <w:jc w:val="center"/>
              <w:rPr>
                <w:rFonts w:asciiTheme="majorBidi" w:hAnsiTheme="majorBidi" w:cstheme="majorBidi"/>
                <w:sz w:val="20"/>
                <w:szCs w:val="20"/>
              </w:rPr>
            </w:pPr>
            <w:r w:rsidRPr="009065C2">
              <w:rPr>
                <w:rFonts w:asciiTheme="majorBidi" w:hAnsiTheme="majorBidi" w:cstheme="majorBidi"/>
                <w:sz w:val="20"/>
                <w:szCs w:val="20"/>
              </w:rPr>
              <w:t>17.28</w:t>
            </w:r>
          </w:p>
        </w:tc>
        <w:tc>
          <w:tcPr>
            <w:tcW w:w="1350" w:type="dxa"/>
            <w:vAlign w:val="center"/>
          </w:tcPr>
          <w:p w14:paraId="084453C4" w14:textId="77777777" w:rsidR="00006549" w:rsidRPr="009065C2" w:rsidRDefault="00006549" w:rsidP="009065C2">
            <w:pPr>
              <w:autoSpaceDE w:val="0"/>
              <w:autoSpaceDN w:val="0"/>
              <w:adjustRightInd w:val="0"/>
              <w:jc w:val="center"/>
              <w:rPr>
                <w:rFonts w:asciiTheme="majorBidi" w:hAnsiTheme="majorBidi" w:cstheme="majorBidi"/>
                <w:sz w:val="20"/>
                <w:szCs w:val="20"/>
              </w:rPr>
            </w:pPr>
            <w:r w:rsidRPr="009065C2">
              <w:rPr>
                <w:rFonts w:asciiTheme="majorBidi" w:hAnsiTheme="majorBidi" w:cstheme="majorBidi"/>
                <w:sz w:val="20"/>
                <w:szCs w:val="20"/>
              </w:rPr>
              <w:t>2.44</w:t>
            </w:r>
          </w:p>
        </w:tc>
        <w:tc>
          <w:tcPr>
            <w:tcW w:w="1092" w:type="dxa"/>
            <w:vMerge/>
            <w:vAlign w:val="center"/>
          </w:tcPr>
          <w:p w14:paraId="404E2CB7" w14:textId="77777777" w:rsidR="00006549" w:rsidRPr="009065C2" w:rsidRDefault="00006549" w:rsidP="009065C2">
            <w:pPr>
              <w:autoSpaceDE w:val="0"/>
              <w:autoSpaceDN w:val="0"/>
              <w:adjustRightInd w:val="0"/>
              <w:jc w:val="center"/>
              <w:rPr>
                <w:rFonts w:asciiTheme="majorBidi" w:hAnsiTheme="majorBidi" w:cstheme="majorBidi"/>
                <w:sz w:val="20"/>
                <w:szCs w:val="20"/>
              </w:rPr>
            </w:pPr>
          </w:p>
        </w:tc>
      </w:tr>
    </w:tbl>
    <w:p w14:paraId="7D11BD67" w14:textId="77777777" w:rsidR="00006549" w:rsidRPr="00A23055" w:rsidRDefault="00006549" w:rsidP="00B90075">
      <w:pPr>
        <w:spacing w:after="0" w:line="240" w:lineRule="auto"/>
        <w:jc w:val="both"/>
        <w:rPr>
          <w:rFonts w:asciiTheme="majorBidi" w:hAnsiTheme="majorBidi" w:cstheme="majorBidi"/>
          <w:sz w:val="24"/>
          <w:szCs w:val="24"/>
        </w:rPr>
      </w:pPr>
    </w:p>
    <w:tbl>
      <w:tblPr>
        <w:tblW w:w="0" w:type="auto"/>
        <w:tblInd w:w="2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6"/>
      </w:tblGrid>
      <w:tr w:rsidR="005922A7" w14:paraId="6D561637" w14:textId="77777777" w:rsidTr="005922A7">
        <w:trPr>
          <w:trHeight w:val="3315"/>
        </w:trPr>
        <w:tc>
          <w:tcPr>
            <w:tcW w:w="4335" w:type="dxa"/>
          </w:tcPr>
          <w:p w14:paraId="670CB3AE" w14:textId="679E625F" w:rsidR="005922A7" w:rsidRDefault="005922A7" w:rsidP="005922A7">
            <w:pPr>
              <w:spacing w:after="0" w:line="240" w:lineRule="auto"/>
              <w:jc w:val="center"/>
              <w:rPr>
                <w:rFonts w:asciiTheme="majorBidi" w:hAnsiTheme="majorBidi" w:cstheme="majorBidi"/>
                <w:sz w:val="24"/>
                <w:szCs w:val="24"/>
              </w:rPr>
            </w:pPr>
            <w:r w:rsidRPr="00A23055">
              <w:rPr>
                <w:rFonts w:asciiTheme="majorBidi" w:hAnsiTheme="majorBidi" w:cstheme="majorBidi"/>
                <w:sz w:val="24"/>
                <w:szCs w:val="24"/>
              </w:rPr>
              <w:object w:dxaOrig="6234" w:dyaOrig="4986" w14:anchorId="53A09F8C">
                <v:shape id="_x0000_i1026" type="#_x0000_t75" style="width:207pt;height:178.2pt" o:ole="" o:bordertopcolor="this" o:borderleftcolor="this" o:borderbottomcolor="this" o:borderrightcolor="this">
                  <v:imagedata r:id="rId14" o:title=""/>
                </v:shape>
                <o:OLEObject Type="Embed" ProgID="Prism8.Document" ShapeID="_x0000_i1026" DrawAspect="Content" ObjectID="_1843893490" r:id="rId15"/>
              </w:object>
            </w:r>
          </w:p>
        </w:tc>
      </w:tr>
    </w:tbl>
    <w:p w14:paraId="4D4ECC26" w14:textId="516B6F70" w:rsidR="00016546" w:rsidRPr="006222B8" w:rsidRDefault="00016546" w:rsidP="006222B8">
      <w:pPr>
        <w:spacing w:after="0" w:line="240" w:lineRule="auto"/>
        <w:jc w:val="center"/>
        <w:rPr>
          <w:rFonts w:asciiTheme="majorBidi" w:hAnsiTheme="majorBidi" w:cstheme="majorBidi"/>
          <w:b/>
          <w:bCs/>
          <w:sz w:val="20"/>
          <w:szCs w:val="20"/>
        </w:rPr>
      </w:pPr>
      <w:r w:rsidRPr="006222B8">
        <w:rPr>
          <w:rFonts w:asciiTheme="majorBidi" w:hAnsiTheme="majorBidi" w:cstheme="majorBidi"/>
          <w:b/>
          <w:bCs/>
          <w:sz w:val="20"/>
          <w:szCs w:val="20"/>
        </w:rPr>
        <w:t>Figure</w:t>
      </w:r>
      <w:r w:rsidR="004C7BD9" w:rsidRPr="006222B8">
        <w:rPr>
          <w:rFonts w:asciiTheme="majorBidi" w:hAnsiTheme="majorBidi" w:cstheme="majorBidi"/>
          <w:b/>
          <w:bCs/>
          <w:sz w:val="20"/>
          <w:szCs w:val="20"/>
        </w:rPr>
        <w:t xml:space="preserve"> </w:t>
      </w:r>
      <w:r w:rsidR="006222B8">
        <w:rPr>
          <w:rFonts w:asciiTheme="majorBidi" w:hAnsiTheme="majorBidi" w:cstheme="majorBidi"/>
          <w:b/>
          <w:bCs/>
          <w:sz w:val="20"/>
          <w:szCs w:val="20"/>
        </w:rPr>
        <w:t>(</w:t>
      </w:r>
      <w:r w:rsidRPr="006222B8">
        <w:rPr>
          <w:rFonts w:asciiTheme="majorBidi" w:hAnsiTheme="majorBidi" w:cstheme="majorBidi"/>
          <w:b/>
          <w:bCs/>
          <w:sz w:val="20"/>
          <w:szCs w:val="20"/>
        </w:rPr>
        <w:t>2</w:t>
      </w:r>
      <w:r w:rsidR="006222B8">
        <w:rPr>
          <w:rFonts w:asciiTheme="majorBidi" w:hAnsiTheme="majorBidi" w:cstheme="majorBidi"/>
          <w:b/>
          <w:bCs/>
          <w:sz w:val="20"/>
          <w:szCs w:val="20"/>
        </w:rPr>
        <w:t>)</w:t>
      </w:r>
      <w:r w:rsidRPr="006222B8">
        <w:rPr>
          <w:rFonts w:asciiTheme="majorBidi" w:hAnsiTheme="majorBidi" w:cstheme="majorBidi"/>
          <w:b/>
          <w:bCs/>
          <w:sz w:val="20"/>
          <w:szCs w:val="20"/>
        </w:rPr>
        <w:t>: Difference in Mean and SD among study group</w:t>
      </w:r>
      <w:r w:rsidR="004C7BD9" w:rsidRPr="006222B8">
        <w:rPr>
          <w:rFonts w:asciiTheme="majorBidi" w:hAnsiTheme="majorBidi" w:cstheme="majorBidi"/>
          <w:b/>
          <w:bCs/>
          <w:sz w:val="20"/>
          <w:szCs w:val="20"/>
        </w:rPr>
        <w:t>s</w:t>
      </w:r>
      <w:r w:rsidRPr="006222B8">
        <w:rPr>
          <w:rFonts w:asciiTheme="majorBidi" w:hAnsiTheme="majorBidi" w:cstheme="majorBidi"/>
          <w:b/>
          <w:bCs/>
          <w:sz w:val="20"/>
          <w:szCs w:val="20"/>
        </w:rPr>
        <w:t xml:space="preserve"> in IL-10 level</w:t>
      </w:r>
      <w:r w:rsidR="006222B8">
        <w:rPr>
          <w:rFonts w:asciiTheme="majorBidi" w:hAnsiTheme="majorBidi" w:cstheme="majorBidi"/>
          <w:b/>
          <w:bCs/>
          <w:sz w:val="20"/>
          <w:szCs w:val="20"/>
        </w:rPr>
        <w:t>.</w:t>
      </w:r>
    </w:p>
    <w:p w14:paraId="0A76018D" w14:textId="77777777" w:rsidR="000F0CE1" w:rsidRDefault="000F0CE1" w:rsidP="00741B4D">
      <w:pPr>
        <w:spacing w:after="0" w:line="240" w:lineRule="auto"/>
        <w:ind w:firstLine="426"/>
        <w:jc w:val="both"/>
        <w:rPr>
          <w:rFonts w:asciiTheme="majorBidi" w:hAnsiTheme="majorBidi" w:cstheme="majorBidi"/>
          <w:sz w:val="24"/>
          <w:szCs w:val="24"/>
        </w:rPr>
      </w:pPr>
    </w:p>
    <w:p w14:paraId="6CBD1A75" w14:textId="77777777" w:rsidR="000F0CE1" w:rsidRDefault="000F0CE1" w:rsidP="00741B4D">
      <w:pPr>
        <w:spacing w:after="0" w:line="240" w:lineRule="auto"/>
        <w:ind w:firstLine="426"/>
        <w:jc w:val="both"/>
        <w:rPr>
          <w:rFonts w:asciiTheme="majorBidi" w:hAnsiTheme="majorBidi" w:cstheme="majorBidi"/>
          <w:sz w:val="24"/>
          <w:szCs w:val="24"/>
        </w:rPr>
        <w:sectPr w:rsidR="000F0CE1" w:rsidSect="009F0C04">
          <w:type w:val="continuous"/>
          <w:pgSz w:w="11906" w:h="16838" w:code="9"/>
          <w:pgMar w:top="1701" w:right="1701" w:bottom="1701" w:left="1701" w:header="720" w:footer="720" w:gutter="0"/>
          <w:cols w:space="720"/>
          <w:titlePg/>
          <w:docGrid w:linePitch="360"/>
        </w:sectPr>
      </w:pPr>
    </w:p>
    <w:p w14:paraId="62FA998E" w14:textId="7D381CFD" w:rsidR="00006549" w:rsidRDefault="00006549" w:rsidP="00741B4D">
      <w:pPr>
        <w:spacing w:after="0" w:line="240" w:lineRule="auto"/>
        <w:ind w:firstLine="426"/>
        <w:jc w:val="both"/>
        <w:rPr>
          <w:rFonts w:asciiTheme="majorBidi" w:hAnsiTheme="majorBidi" w:cstheme="majorBidi"/>
          <w:sz w:val="24"/>
          <w:szCs w:val="24"/>
        </w:rPr>
      </w:pPr>
      <w:r w:rsidRPr="00A23055">
        <w:rPr>
          <w:rFonts w:asciiTheme="majorBidi" w:hAnsiTheme="majorBidi" w:cstheme="majorBidi"/>
          <w:sz w:val="24"/>
          <w:szCs w:val="24"/>
        </w:rPr>
        <w:t>The high standard deviation (SD) in both groups indicates substantial variability in IL-10 levels among individuals within each group, suggesting that factors other than thyroid disorders may influence the production of this cytokine. Although the p-value greater than 0.05 indicates that the observed difference between the groups is not large enough to be attributed to chance, we cannot reject the null hypothesis that there is no true difference between the groups.</w:t>
      </w:r>
      <w:r w:rsidR="00016546" w:rsidRPr="00A23055">
        <w:rPr>
          <w:rFonts w:asciiTheme="majorBidi" w:hAnsiTheme="majorBidi" w:cstheme="majorBidi"/>
          <w:sz w:val="24"/>
          <w:szCs w:val="24"/>
        </w:rPr>
        <w:t xml:space="preserve"> </w:t>
      </w:r>
      <w:r w:rsidRPr="00A23055">
        <w:rPr>
          <w:rFonts w:asciiTheme="majorBidi" w:hAnsiTheme="majorBidi" w:cstheme="majorBidi"/>
          <w:sz w:val="24"/>
          <w:szCs w:val="24"/>
        </w:rPr>
        <w:t xml:space="preserve">These findings suggest that there is no strong evidence of a direct relationship between thyroid disorders and increased or decreased IL-10 production. Other factors, such as disease severity, </w:t>
      </w:r>
      <w:r w:rsidRPr="00A23055">
        <w:rPr>
          <w:rFonts w:asciiTheme="majorBidi" w:hAnsiTheme="majorBidi" w:cstheme="majorBidi"/>
          <w:sz w:val="24"/>
          <w:szCs w:val="24"/>
        </w:rPr>
        <w:t>treatment type, or genetic factors, may influence IL-10 levels in patients with thyroid disorders. Further studies are needed to confirm these findings and to investigate the potential influence of additional variables on IL-10 levels.</w:t>
      </w:r>
    </w:p>
    <w:p w14:paraId="42E1CEED" w14:textId="77777777" w:rsidR="00617819" w:rsidRPr="00A23055" w:rsidRDefault="00A018AD" w:rsidP="00B90075">
      <w:pPr>
        <w:spacing w:after="0" w:line="240" w:lineRule="auto"/>
        <w:jc w:val="both"/>
        <w:rPr>
          <w:rFonts w:asciiTheme="majorBidi" w:hAnsiTheme="majorBidi" w:cstheme="majorBidi"/>
          <w:b/>
          <w:bCs/>
          <w:sz w:val="24"/>
          <w:szCs w:val="24"/>
        </w:rPr>
      </w:pPr>
      <w:r w:rsidRPr="00A23055">
        <w:rPr>
          <w:rFonts w:asciiTheme="majorBidi" w:hAnsiTheme="majorBidi" w:cstheme="majorBidi"/>
          <w:b/>
          <w:bCs/>
          <w:sz w:val="24"/>
          <w:szCs w:val="24"/>
        </w:rPr>
        <w:t>5</w:t>
      </w:r>
      <w:r w:rsidR="00617819" w:rsidRPr="00A23055">
        <w:rPr>
          <w:rFonts w:asciiTheme="majorBidi" w:hAnsiTheme="majorBidi" w:cstheme="majorBidi"/>
          <w:b/>
          <w:bCs/>
          <w:sz w:val="24"/>
          <w:szCs w:val="24"/>
        </w:rPr>
        <w:t>. ROC Curve of Anti-TPO</w:t>
      </w:r>
    </w:p>
    <w:p w14:paraId="5C38303F" w14:textId="77777777" w:rsidR="000F0CE1" w:rsidRDefault="0095535C" w:rsidP="00741B4D">
      <w:pPr>
        <w:spacing w:after="0" w:line="240" w:lineRule="auto"/>
        <w:ind w:firstLine="426"/>
        <w:jc w:val="both"/>
        <w:rPr>
          <w:rFonts w:asciiTheme="majorBidi" w:hAnsiTheme="majorBidi" w:cstheme="majorBidi"/>
          <w:sz w:val="24"/>
          <w:szCs w:val="24"/>
        </w:rPr>
        <w:sectPr w:rsidR="000F0CE1" w:rsidSect="000F0CE1">
          <w:type w:val="continuous"/>
          <w:pgSz w:w="11906" w:h="16838" w:code="9"/>
          <w:pgMar w:top="1701" w:right="1701" w:bottom="1701" w:left="1701" w:header="720" w:footer="720" w:gutter="0"/>
          <w:cols w:num="2" w:space="720"/>
          <w:titlePg/>
          <w:docGrid w:linePitch="360"/>
        </w:sectPr>
      </w:pPr>
      <w:r w:rsidRPr="00A23055">
        <w:rPr>
          <w:rFonts w:asciiTheme="majorBidi" w:hAnsiTheme="majorBidi" w:cstheme="majorBidi"/>
          <w:sz w:val="24"/>
          <w:szCs w:val="24"/>
        </w:rPr>
        <w:t>A receiver operating characteristics curve analysis</w:t>
      </w:r>
      <w:r w:rsidR="00B532E3" w:rsidRPr="00A23055">
        <w:rPr>
          <w:rFonts w:asciiTheme="majorBidi" w:hAnsiTheme="majorBidi" w:cstheme="majorBidi"/>
          <w:sz w:val="24"/>
          <w:szCs w:val="24"/>
        </w:rPr>
        <w:t xml:space="preserve"> </w:t>
      </w:r>
      <w:r w:rsidR="008340AA" w:rsidRPr="00A23055">
        <w:rPr>
          <w:rFonts w:asciiTheme="majorBidi" w:hAnsiTheme="majorBidi" w:cstheme="majorBidi"/>
          <w:sz w:val="24"/>
          <w:szCs w:val="24"/>
        </w:rPr>
        <w:t>(17)</w:t>
      </w:r>
      <w:r w:rsidRPr="00A23055">
        <w:rPr>
          <w:rFonts w:asciiTheme="majorBidi" w:hAnsiTheme="majorBidi" w:cstheme="majorBidi"/>
          <w:sz w:val="24"/>
          <w:szCs w:val="24"/>
        </w:rPr>
        <w:t xml:space="preserve"> of anti-TPO demonstrated that area under </w:t>
      </w:r>
      <w:r w:rsidR="004C7BD9" w:rsidRPr="00A23055">
        <w:rPr>
          <w:rFonts w:asciiTheme="majorBidi" w:hAnsiTheme="majorBidi" w:cstheme="majorBidi"/>
          <w:sz w:val="24"/>
          <w:szCs w:val="24"/>
        </w:rPr>
        <w:t xml:space="preserve">the </w:t>
      </w:r>
      <w:r w:rsidRPr="00A23055">
        <w:rPr>
          <w:rFonts w:asciiTheme="majorBidi" w:hAnsiTheme="majorBidi" w:cstheme="majorBidi"/>
          <w:sz w:val="24"/>
          <w:szCs w:val="24"/>
        </w:rPr>
        <w:t>curve (0.766) with a high significant p-value (˂0.001**). The best cut</w:t>
      </w:r>
      <w:r w:rsidR="004C7BD9" w:rsidRPr="00A23055">
        <w:rPr>
          <w:rFonts w:asciiTheme="majorBidi" w:hAnsiTheme="majorBidi" w:cstheme="majorBidi"/>
          <w:sz w:val="24"/>
          <w:szCs w:val="24"/>
        </w:rPr>
        <w:t>-</w:t>
      </w:r>
      <w:r w:rsidRPr="00A23055">
        <w:rPr>
          <w:rFonts w:asciiTheme="majorBidi" w:hAnsiTheme="majorBidi" w:cstheme="majorBidi"/>
          <w:sz w:val="24"/>
          <w:szCs w:val="24"/>
        </w:rPr>
        <w:t xml:space="preserve">off value was (450.67) with 78% sensitivity and 72% specificity </w:t>
      </w:r>
      <w:r w:rsidR="004C7BD9" w:rsidRPr="00A23055">
        <w:rPr>
          <w:rFonts w:asciiTheme="majorBidi" w:hAnsiTheme="majorBidi" w:cstheme="majorBidi"/>
          <w:sz w:val="24"/>
          <w:szCs w:val="24"/>
        </w:rPr>
        <w:t>which</w:t>
      </w:r>
      <w:r w:rsidRPr="00A23055">
        <w:rPr>
          <w:rFonts w:asciiTheme="majorBidi" w:hAnsiTheme="majorBidi" w:cstheme="majorBidi"/>
          <w:sz w:val="24"/>
          <w:szCs w:val="24"/>
        </w:rPr>
        <w:t xml:space="preserve"> may indicate </w:t>
      </w:r>
      <w:r w:rsidR="004C7BD9" w:rsidRPr="00A23055">
        <w:rPr>
          <w:rFonts w:asciiTheme="majorBidi" w:hAnsiTheme="majorBidi" w:cstheme="majorBidi"/>
          <w:sz w:val="24"/>
          <w:szCs w:val="24"/>
        </w:rPr>
        <w:t xml:space="preserve">the </w:t>
      </w:r>
      <w:r w:rsidRPr="00A23055">
        <w:rPr>
          <w:rFonts w:asciiTheme="majorBidi" w:hAnsiTheme="majorBidi" w:cstheme="majorBidi"/>
          <w:sz w:val="24"/>
          <w:szCs w:val="24"/>
        </w:rPr>
        <w:t xml:space="preserve">used anti-TPO as </w:t>
      </w:r>
      <w:r w:rsidR="004C7BD9" w:rsidRPr="00A23055">
        <w:rPr>
          <w:rFonts w:asciiTheme="majorBidi" w:hAnsiTheme="majorBidi" w:cstheme="majorBidi"/>
          <w:sz w:val="24"/>
          <w:szCs w:val="24"/>
        </w:rPr>
        <w:t xml:space="preserve">a </w:t>
      </w:r>
      <w:r w:rsidRPr="00A23055">
        <w:rPr>
          <w:rFonts w:asciiTheme="majorBidi" w:hAnsiTheme="majorBidi" w:cstheme="majorBidi"/>
          <w:sz w:val="24"/>
          <w:szCs w:val="24"/>
        </w:rPr>
        <w:t xml:space="preserve">biomarker </w:t>
      </w:r>
      <w:r w:rsidR="004C7BD9" w:rsidRPr="00A23055">
        <w:rPr>
          <w:rFonts w:asciiTheme="majorBidi" w:hAnsiTheme="majorBidi" w:cstheme="majorBidi"/>
          <w:sz w:val="24"/>
          <w:szCs w:val="24"/>
        </w:rPr>
        <w:t>for</w:t>
      </w:r>
      <w:r w:rsidRPr="00A23055">
        <w:rPr>
          <w:rFonts w:asciiTheme="majorBidi" w:hAnsiTheme="majorBidi" w:cstheme="majorBidi"/>
          <w:sz w:val="24"/>
          <w:szCs w:val="24"/>
        </w:rPr>
        <w:t xml:space="preserve"> prognosis, diagnosis</w:t>
      </w:r>
      <w:r w:rsidR="004C7BD9" w:rsidRPr="00A23055">
        <w:rPr>
          <w:rFonts w:asciiTheme="majorBidi" w:hAnsiTheme="majorBidi" w:cstheme="majorBidi"/>
          <w:sz w:val="24"/>
          <w:szCs w:val="24"/>
        </w:rPr>
        <w:t>,</w:t>
      </w:r>
      <w:r w:rsidRPr="00A23055">
        <w:rPr>
          <w:rFonts w:asciiTheme="majorBidi" w:hAnsiTheme="majorBidi" w:cstheme="majorBidi"/>
          <w:sz w:val="24"/>
          <w:szCs w:val="24"/>
        </w:rPr>
        <w:t xml:space="preserve"> and target thyroid disorder. </w:t>
      </w:r>
      <w:r w:rsidR="00741B4D" w:rsidRPr="00741B4D">
        <w:rPr>
          <w:rFonts w:asciiTheme="majorBidi" w:hAnsiTheme="majorBidi" w:cstheme="majorBidi"/>
          <w:sz w:val="24"/>
          <w:szCs w:val="24"/>
        </w:rPr>
        <w:t>(</w:t>
      </w:r>
      <w:r w:rsidRPr="00741B4D">
        <w:rPr>
          <w:rFonts w:asciiTheme="majorBidi" w:hAnsiTheme="majorBidi" w:cstheme="majorBidi"/>
          <w:sz w:val="24"/>
          <w:szCs w:val="24"/>
        </w:rPr>
        <w:t xml:space="preserve">Table 6 and </w:t>
      </w:r>
      <w:r w:rsidR="004C7BD9" w:rsidRPr="00741B4D">
        <w:rPr>
          <w:rFonts w:asciiTheme="majorBidi" w:hAnsiTheme="majorBidi" w:cstheme="majorBidi"/>
          <w:sz w:val="24"/>
          <w:szCs w:val="24"/>
        </w:rPr>
        <w:t>F</w:t>
      </w:r>
      <w:r w:rsidRPr="00741B4D">
        <w:rPr>
          <w:rFonts w:asciiTheme="majorBidi" w:hAnsiTheme="majorBidi" w:cstheme="majorBidi"/>
          <w:sz w:val="24"/>
          <w:szCs w:val="24"/>
        </w:rPr>
        <w:t>igure 3</w:t>
      </w:r>
      <w:r w:rsidR="00741B4D" w:rsidRPr="00741B4D">
        <w:rPr>
          <w:rFonts w:asciiTheme="majorBidi" w:hAnsiTheme="majorBidi" w:cstheme="majorBidi"/>
          <w:sz w:val="24"/>
          <w:szCs w:val="24"/>
        </w:rPr>
        <w:t>)</w:t>
      </w:r>
      <w:r w:rsidRPr="00741B4D">
        <w:rPr>
          <w:rFonts w:asciiTheme="majorBidi" w:hAnsiTheme="majorBidi" w:cstheme="majorBidi"/>
          <w:sz w:val="24"/>
          <w:szCs w:val="24"/>
        </w:rPr>
        <w:t xml:space="preserve"> illustrate </w:t>
      </w:r>
      <w:r w:rsidRPr="00A23055">
        <w:rPr>
          <w:rFonts w:asciiTheme="majorBidi" w:hAnsiTheme="majorBidi" w:cstheme="majorBidi"/>
          <w:sz w:val="24"/>
          <w:szCs w:val="24"/>
        </w:rPr>
        <w:t>the result.</w:t>
      </w:r>
    </w:p>
    <w:p w14:paraId="6BCC3AFA" w14:textId="2DACE0C8" w:rsidR="0095535C" w:rsidRDefault="0095535C" w:rsidP="00741B4D">
      <w:pPr>
        <w:spacing w:after="0" w:line="240" w:lineRule="auto"/>
        <w:ind w:firstLine="426"/>
        <w:jc w:val="both"/>
        <w:rPr>
          <w:rFonts w:asciiTheme="majorBidi" w:hAnsiTheme="majorBidi" w:cstheme="majorBidi"/>
          <w:sz w:val="24"/>
          <w:szCs w:val="24"/>
        </w:rPr>
      </w:pPr>
    </w:p>
    <w:p w14:paraId="63DE3C5A" w14:textId="77777777" w:rsidR="005922A7" w:rsidRDefault="005922A7" w:rsidP="009A6C1B">
      <w:pPr>
        <w:spacing w:after="0" w:line="240" w:lineRule="auto"/>
        <w:jc w:val="center"/>
        <w:rPr>
          <w:rFonts w:asciiTheme="majorBidi" w:hAnsiTheme="majorBidi" w:cstheme="majorBidi"/>
          <w:b/>
          <w:bCs/>
          <w:sz w:val="20"/>
          <w:szCs w:val="20"/>
        </w:rPr>
      </w:pPr>
    </w:p>
    <w:p w14:paraId="14FF83B5" w14:textId="4230C40F" w:rsidR="0095535C" w:rsidRPr="009A6C1B" w:rsidRDefault="0095535C" w:rsidP="009A6C1B">
      <w:pPr>
        <w:spacing w:after="0" w:line="240" w:lineRule="auto"/>
        <w:jc w:val="center"/>
        <w:rPr>
          <w:rFonts w:asciiTheme="majorBidi" w:hAnsiTheme="majorBidi" w:cstheme="majorBidi"/>
          <w:b/>
          <w:bCs/>
          <w:sz w:val="20"/>
          <w:szCs w:val="20"/>
        </w:rPr>
      </w:pPr>
      <w:r w:rsidRPr="009A6C1B">
        <w:rPr>
          <w:rFonts w:asciiTheme="majorBidi" w:hAnsiTheme="majorBidi" w:cstheme="majorBidi"/>
          <w:b/>
          <w:bCs/>
          <w:sz w:val="20"/>
          <w:szCs w:val="20"/>
        </w:rPr>
        <w:t>Table</w:t>
      </w:r>
      <w:r w:rsidR="00524597" w:rsidRPr="009A6C1B">
        <w:rPr>
          <w:rFonts w:asciiTheme="majorBidi" w:hAnsiTheme="majorBidi" w:cstheme="majorBidi"/>
          <w:b/>
          <w:bCs/>
          <w:sz w:val="20"/>
          <w:szCs w:val="20"/>
        </w:rPr>
        <w:t xml:space="preserve"> </w:t>
      </w:r>
      <w:r w:rsidR="009A6C1B" w:rsidRPr="009A6C1B">
        <w:rPr>
          <w:rFonts w:asciiTheme="majorBidi" w:hAnsiTheme="majorBidi" w:cstheme="majorBidi"/>
          <w:b/>
          <w:bCs/>
          <w:sz w:val="20"/>
          <w:szCs w:val="20"/>
        </w:rPr>
        <w:t>(</w:t>
      </w:r>
      <w:r w:rsidR="00524597" w:rsidRPr="009A6C1B">
        <w:rPr>
          <w:rFonts w:asciiTheme="majorBidi" w:hAnsiTheme="majorBidi" w:cstheme="majorBidi"/>
          <w:b/>
          <w:bCs/>
          <w:sz w:val="20"/>
          <w:szCs w:val="20"/>
        </w:rPr>
        <w:t>6</w:t>
      </w:r>
      <w:r w:rsidR="009A6C1B" w:rsidRPr="009A6C1B">
        <w:rPr>
          <w:rFonts w:asciiTheme="majorBidi" w:hAnsiTheme="majorBidi" w:cstheme="majorBidi"/>
          <w:b/>
          <w:bCs/>
          <w:sz w:val="20"/>
          <w:szCs w:val="20"/>
        </w:rPr>
        <w:t>)</w:t>
      </w:r>
      <w:r w:rsidRPr="009A6C1B">
        <w:rPr>
          <w:rFonts w:asciiTheme="majorBidi" w:hAnsiTheme="majorBidi" w:cstheme="majorBidi"/>
          <w:b/>
          <w:bCs/>
          <w:sz w:val="20"/>
          <w:szCs w:val="20"/>
        </w:rPr>
        <w:t>: Receiver operating characteristics curve of anti-TPO</w:t>
      </w:r>
      <w:r w:rsidR="009A6C1B" w:rsidRPr="009A6C1B">
        <w:rPr>
          <w:rFonts w:asciiTheme="majorBidi" w:hAnsiTheme="majorBidi" w:cstheme="majorBidi"/>
          <w:b/>
          <w:bCs/>
          <w:sz w:val="20"/>
          <w:szCs w:val="20"/>
        </w:rPr>
        <w:t>.</w:t>
      </w:r>
    </w:p>
    <w:tbl>
      <w:tblPr>
        <w:tblStyle w:val="TableGrid"/>
        <w:tblW w:w="8325" w:type="dxa"/>
        <w:jc w:val="center"/>
        <w:tblLayout w:type="fixed"/>
        <w:tblLook w:val="0000" w:firstRow="0" w:lastRow="0" w:firstColumn="0" w:lastColumn="0" w:noHBand="0" w:noVBand="0"/>
      </w:tblPr>
      <w:tblGrid>
        <w:gridCol w:w="1105"/>
        <w:gridCol w:w="1703"/>
        <w:gridCol w:w="1350"/>
        <w:gridCol w:w="1377"/>
        <w:gridCol w:w="1587"/>
        <w:gridCol w:w="1203"/>
      </w:tblGrid>
      <w:tr w:rsidR="00A018AD" w:rsidRPr="00A23055" w14:paraId="15D92F3B" w14:textId="77777777" w:rsidTr="001C5398">
        <w:trPr>
          <w:trHeight w:val="20"/>
          <w:jc w:val="center"/>
        </w:trPr>
        <w:tc>
          <w:tcPr>
            <w:tcW w:w="1105" w:type="dxa"/>
            <w:shd w:val="clear" w:color="auto" w:fill="D9D9D9" w:themeFill="background1" w:themeFillShade="D9"/>
            <w:vAlign w:val="center"/>
          </w:tcPr>
          <w:p w14:paraId="296C6609" w14:textId="77777777" w:rsidR="00A018AD" w:rsidRPr="001C5398" w:rsidRDefault="00A018AD" w:rsidP="001C5398">
            <w:pPr>
              <w:autoSpaceDE w:val="0"/>
              <w:autoSpaceDN w:val="0"/>
              <w:adjustRightInd w:val="0"/>
              <w:jc w:val="center"/>
              <w:rPr>
                <w:rFonts w:asciiTheme="majorBidi" w:hAnsiTheme="majorBidi" w:cstheme="majorBidi"/>
                <w:b/>
                <w:bCs/>
                <w:sz w:val="20"/>
                <w:szCs w:val="20"/>
              </w:rPr>
            </w:pPr>
            <w:r w:rsidRPr="001C5398">
              <w:rPr>
                <w:rFonts w:asciiTheme="majorBidi" w:hAnsiTheme="majorBidi" w:cstheme="majorBidi"/>
                <w:b/>
                <w:bCs/>
                <w:sz w:val="20"/>
                <w:szCs w:val="20"/>
              </w:rPr>
              <w:t>Area</w:t>
            </w:r>
          </w:p>
        </w:tc>
        <w:tc>
          <w:tcPr>
            <w:tcW w:w="1703" w:type="dxa"/>
            <w:shd w:val="clear" w:color="auto" w:fill="D9D9D9" w:themeFill="background1" w:themeFillShade="D9"/>
            <w:vAlign w:val="center"/>
          </w:tcPr>
          <w:p w14:paraId="3E933259" w14:textId="77777777" w:rsidR="00A018AD" w:rsidRPr="001C5398" w:rsidRDefault="00A018AD" w:rsidP="001C5398">
            <w:pPr>
              <w:autoSpaceDE w:val="0"/>
              <w:autoSpaceDN w:val="0"/>
              <w:adjustRightInd w:val="0"/>
              <w:jc w:val="center"/>
              <w:rPr>
                <w:rFonts w:asciiTheme="majorBidi" w:hAnsiTheme="majorBidi" w:cstheme="majorBidi"/>
                <w:b/>
                <w:bCs/>
                <w:sz w:val="20"/>
                <w:szCs w:val="20"/>
              </w:rPr>
            </w:pPr>
            <w:r w:rsidRPr="001C5398">
              <w:rPr>
                <w:rFonts w:asciiTheme="majorBidi" w:hAnsiTheme="majorBidi" w:cstheme="majorBidi"/>
                <w:b/>
                <w:bCs/>
                <w:sz w:val="20"/>
                <w:szCs w:val="20"/>
              </w:rPr>
              <w:t>Explanation</w:t>
            </w:r>
          </w:p>
        </w:tc>
        <w:tc>
          <w:tcPr>
            <w:tcW w:w="1350" w:type="dxa"/>
            <w:shd w:val="clear" w:color="auto" w:fill="D9D9D9" w:themeFill="background1" w:themeFillShade="D9"/>
            <w:vAlign w:val="center"/>
          </w:tcPr>
          <w:p w14:paraId="2FFF5A52" w14:textId="77777777" w:rsidR="00A018AD" w:rsidRPr="001C5398" w:rsidRDefault="00A018AD" w:rsidP="001C5398">
            <w:pPr>
              <w:autoSpaceDE w:val="0"/>
              <w:autoSpaceDN w:val="0"/>
              <w:adjustRightInd w:val="0"/>
              <w:jc w:val="center"/>
              <w:rPr>
                <w:rFonts w:asciiTheme="majorBidi" w:hAnsiTheme="majorBidi" w:cstheme="majorBidi"/>
                <w:b/>
                <w:bCs/>
                <w:sz w:val="20"/>
                <w:szCs w:val="20"/>
              </w:rPr>
            </w:pPr>
            <w:r w:rsidRPr="001C5398">
              <w:rPr>
                <w:rFonts w:asciiTheme="majorBidi" w:hAnsiTheme="majorBidi" w:cstheme="majorBidi"/>
                <w:b/>
                <w:bCs/>
                <w:sz w:val="20"/>
                <w:szCs w:val="20"/>
              </w:rPr>
              <w:t>P- value</w:t>
            </w:r>
          </w:p>
        </w:tc>
        <w:tc>
          <w:tcPr>
            <w:tcW w:w="1377" w:type="dxa"/>
            <w:shd w:val="clear" w:color="auto" w:fill="D9D9D9" w:themeFill="background1" w:themeFillShade="D9"/>
            <w:vAlign w:val="center"/>
          </w:tcPr>
          <w:p w14:paraId="7238DB65" w14:textId="77777777" w:rsidR="00A018AD" w:rsidRPr="001C5398" w:rsidRDefault="00A018AD" w:rsidP="001C5398">
            <w:pPr>
              <w:autoSpaceDE w:val="0"/>
              <w:autoSpaceDN w:val="0"/>
              <w:adjustRightInd w:val="0"/>
              <w:jc w:val="center"/>
              <w:rPr>
                <w:rFonts w:asciiTheme="majorBidi" w:hAnsiTheme="majorBidi" w:cstheme="majorBidi"/>
                <w:b/>
                <w:bCs/>
                <w:sz w:val="20"/>
                <w:szCs w:val="20"/>
              </w:rPr>
            </w:pPr>
            <w:r w:rsidRPr="001C5398">
              <w:rPr>
                <w:rFonts w:asciiTheme="majorBidi" w:hAnsiTheme="majorBidi" w:cstheme="majorBidi"/>
                <w:b/>
                <w:bCs/>
                <w:sz w:val="20"/>
                <w:szCs w:val="20"/>
              </w:rPr>
              <w:t>Cut off</w:t>
            </w:r>
          </w:p>
        </w:tc>
        <w:tc>
          <w:tcPr>
            <w:tcW w:w="1587" w:type="dxa"/>
            <w:shd w:val="clear" w:color="auto" w:fill="D9D9D9" w:themeFill="background1" w:themeFillShade="D9"/>
            <w:vAlign w:val="center"/>
          </w:tcPr>
          <w:p w14:paraId="0A45A935" w14:textId="77777777" w:rsidR="00A018AD" w:rsidRPr="001C5398" w:rsidRDefault="00A018AD" w:rsidP="001C5398">
            <w:pPr>
              <w:autoSpaceDE w:val="0"/>
              <w:autoSpaceDN w:val="0"/>
              <w:adjustRightInd w:val="0"/>
              <w:jc w:val="center"/>
              <w:rPr>
                <w:rFonts w:asciiTheme="majorBidi" w:hAnsiTheme="majorBidi" w:cstheme="majorBidi"/>
                <w:b/>
                <w:bCs/>
                <w:sz w:val="20"/>
                <w:szCs w:val="20"/>
              </w:rPr>
            </w:pPr>
            <w:r w:rsidRPr="001C5398">
              <w:rPr>
                <w:rFonts w:asciiTheme="majorBidi" w:hAnsiTheme="majorBidi" w:cstheme="majorBidi"/>
                <w:b/>
                <w:bCs/>
                <w:sz w:val="20"/>
                <w:szCs w:val="20"/>
              </w:rPr>
              <w:t>Sensitivity</w:t>
            </w:r>
          </w:p>
        </w:tc>
        <w:tc>
          <w:tcPr>
            <w:tcW w:w="1203" w:type="dxa"/>
            <w:shd w:val="clear" w:color="auto" w:fill="D9D9D9" w:themeFill="background1" w:themeFillShade="D9"/>
            <w:vAlign w:val="center"/>
          </w:tcPr>
          <w:p w14:paraId="2D78FEF1" w14:textId="77777777" w:rsidR="00A018AD" w:rsidRPr="001C5398" w:rsidRDefault="00A018AD" w:rsidP="001C5398">
            <w:pPr>
              <w:autoSpaceDE w:val="0"/>
              <w:autoSpaceDN w:val="0"/>
              <w:adjustRightInd w:val="0"/>
              <w:jc w:val="center"/>
              <w:rPr>
                <w:rFonts w:asciiTheme="majorBidi" w:hAnsiTheme="majorBidi" w:cstheme="majorBidi"/>
                <w:b/>
                <w:bCs/>
                <w:sz w:val="20"/>
                <w:szCs w:val="20"/>
              </w:rPr>
            </w:pPr>
            <w:r w:rsidRPr="001C5398">
              <w:rPr>
                <w:rFonts w:asciiTheme="majorBidi" w:hAnsiTheme="majorBidi" w:cstheme="majorBidi"/>
                <w:b/>
                <w:bCs/>
                <w:sz w:val="20"/>
                <w:szCs w:val="20"/>
              </w:rPr>
              <w:t>Specificity</w:t>
            </w:r>
          </w:p>
        </w:tc>
      </w:tr>
      <w:tr w:rsidR="00A018AD" w:rsidRPr="00A23055" w14:paraId="7A216824" w14:textId="77777777" w:rsidTr="001C5398">
        <w:trPr>
          <w:trHeight w:val="20"/>
          <w:jc w:val="center"/>
        </w:trPr>
        <w:tc>
          <w:tcPr>
            <w:tcW w:w="1105" w:type="dxa"/>
            <w:vAlign w:val="center"/>
          </w:tcPr>
          <w:p w14:paraId="47F5AF71" w14:textId="77777777" w:rsidR="00A018AD" w:rsidRPr="001C5398" w:rsidRDefault="00A018AD" w:rsidP="001C5398">
            <w:pPr>
              <w:autoSpaceDE w:val="0"/>
              <w:autoSpaceDN w:val="0"/>
              <w:adjustRightInd w:val="0"/>
              <w:jc w:val="center"/>
              <w:rPr>
                <w:rFonts w:asciiTheme="majorBidi" w:hAnsiTheme="majorBidi" w:cstheme="majorBidi"/>
                <w:sz w:val="20"/>
                <w:szCs w:val="20"/>
              </w:rPr>
            </w:pPr>
            <w:r w:rsidRPr="001C5398">
              <w:rPr>
                <w:rFonts w:asciiTheme="majorBidi" w:hAnsiTheme="majorBidi" w:cstheme="majorBidi"/>
                <w:sz w:val="20"/>
                <w:szCs w:val="20"/>
              </w:rPr>
              <w:t>0.766</w:t>
            </w:r>
          </w:p>
        </w:tc>
        <w:tc>
          <w:tcPr>
            <w:tcW w:w="1703" w:type="dxa"/>
            <w:vAlign w:val="center"/>
          </w:tcPr>
          <w:p w14:paraId="3758670E" w14:textId="77777777" w:rsidR="00A018AD" w:rsidRPr="001C5398" w:rsidRDefault="00A018AD" w:rsidP="001C5398">
            <w:pPr>
              <w:autoSpaceDE w:val="0"/>
              <w:autoSpaceDN w:val="0"/>
              <w:adjustRightInd w:val="0"/>
              <w:jc w:val="center"/>
              <w:rPr>
                <w:rFonts w:asciiTheme="majorBidi" w:hAnsiTheme="majorBidi" w:cstheme="majorBidi"/>
                <w:sz w:val="20"/>
                <w:szCs w:val="20"/>
              </w:rPr>
            </w:pPr>
            <w:r w:rsidRPr="001C5398">
              <w:rPr>
                <w:rFonts w:asciiTheme="majorBidi" w:hAnsiTheme="majorBidi" w:cstheme="majorBidi"/>
                <w:sz w:val="20"/>
                <w:szCs w:val="20"/>
              </w:rPr>
              <w:t>Good</w:t>
            </w:r>
          </w:p>
        </w:tc>
        <w:tc>
          <w:tcPr>
            <w:tcW w:w="1350" w:type="dxa"/>
            <w:vAlign w:val="center"/>
          </w:tcPr>
          <w:p w14:paraId="5576583B" w14:textId="77777777" w:rsidR="00A018AD" w:rsidRPr="001C5398" w:rsidRDefault="00A018AD" w:rsidP="001C5398">
            <w:pPr>
              <w:autoSpaceDE w:val="0"/>
              <w:autoSpaceDN w:val="0"/>
              <w:adjustRightInd w:val="0"/>
              <w:jc w:val="center"/>
              <w:rPr>
                <w:rFonts w:asciiTheme="majorBidi" w:hAnsiTheme="majorBidi" w:cstheme="majorBidi"/>
                <w:sz w:val="20"/>
                <w:szCs w:val="20"/>
              </w:rPr>
            </w:pPr>
            <w:r w:rsidRPr="001C5398">
              <w:rPr>
                <w:rFonts w:asciiTheme="majorBidi" w:hAnsiTheme="majorBidi" w:cstheme="majorBidi"/>
                <w:sz w:val="20"/>
                <w:szCs w:val="20"/>
              </w:rPr>
              <w:t>˂0.001**</w:t>
            </w:r>
          </w:p>
        </w:tc>
        <w:tc>
          <w:tcPr>
            <w:tcW w:w="1377" w:type="dxa"/>
            <w:vAlign w:val="center"/>
          </w:tcPr>
          <w:p w14:paraId="3823A899" w14:textId="77777777" w:rsidR="00A018AD" w:rsidRPr="001C5398" w:rsidRDefault="00A018AD" w:rsidP="001C5398">
            <w:pPr>
              <w:autoSpaceDE w:val="0"/>
              <w:autoSpaceDN w:val="0"/>
              <w:adjustRightInd w:val="0"/>
              <w:jc w:val="center"/>
              <w:rPr>
                <w:rFonts w:asciiTheme="majorBidi" w:hAnsiTheme="majorBidi" w:cstheme="majorBidi"/>
                <w:sz w:val="20"/>
                <w:szCs w:val="20"/>
              </w:rPr>
            </w:pPr>
            <w:r w:rsidRPr="001C5398">
              <w:rPr>
                <w:rFonts w:asciiTheme="majorBidi" w:hAnsiTheme="majorBidi" w:cstheme="majorBidi"/>
                <w:sz w:val="20"/>
                <w:szCs w:val="20"/>
              </w:rPr>
              <w:t>450.67</w:t>
            </w:r>
          </w:p>
        </w:tc>
        <w:tc>
          <w:tcPr>
            <w:tcW w:w="1587" w:type="dxa"/>
            <w:vAlign w:val="center"/>
          </w:tcPr>
          <w:p w14:paraId="4B07D544" w14:textId="77777777" w:rsidR="00A018AD" w:rsidRPr="001C5398" w:rsidRDefault="00A018AD" w:rsidP="001C5398">
            <w:pPr>
              <w:autoSpaceDE w:val="0"/>
              <w:autoSpaceDN w:val="0"/>
              <w:adjustRightInd w:val="0"/>
              <w:jc w:val="center"/>
              <w:rPr>
                <w:rFonts w:asciiTheme="majorBidi" w:hAnsiTheme="majorBidi" w:cstheme="majorBidi"/>
                <w:sz w:val="20"/>
                <w:szCs w:val="20"/>
              </w:rPr>
            </w:pPr>
            <w:r w:rsidRPr="001C5398">
              <w:rPr>
                <w:rFonts w:asciiTheme="majorBidi" w:hAnsiTheme="majorBidi" w:cstheme="majorBidi"/>
                <w:sz w:val="20"/>
                <w:szCs w:val="20"/>
              </w:rPr>
              <w:t>78%</w:t>
            </w:r>
          </w:p>
        </w:tc>
        <w:tc>
          <w:tcPr>
            <w:tcW w:w="1203" w:type="dxa"/>
            <w:vAlign w:val="center"/>
          </w:tcPr>
          <w:p w14:paraId="068D69D3" w14:textId="77777777" w:rsidR="00A018AD" w:rsidRPr="001C5398" w:rsidRDefault="0095535C" w:rsidP="001C5398">
            <w:pPr>
              <w:autoSpaceDE w:val="0"/>
              <w:autoSpaceDN w:val="0"/>
              <w:adjustRightInd w:val="0"/>
              <w:jc w:val="center"/>
              <w:rPr>
                <w:rFonts w:asciiTheme="majorBidi" w:hAnsiTheme="majorBidi" w:cstheme="majorBidi"/>
                <w:sz w:val="20"/>
                <w:szCs w:val="20"/>
              </w:rPr>
            </w:pPr>
            <w:r w:rsidRPr="001C5398">
              <w:rPr>
                <w:rFonts w:asciiTheme="majorBidi" w:hAnsiTheme="majorBidi" w:cstheme="majorBidi"/>
                <w:sz w:val="20"/>
                <w:szCs w:val="20"/>
              </w:rPr>
              <w:t>72</w:t>
            </w:r>
            <w:r w:rsidR="00A018AD" w:rsidRPr="001C5398">
              <w:rPr>
                <w:rFonts w:asciiTheme="majorBidi" w:hAnsiTheme="majorBidi" w:cstheme="majorBidi"/>
                <w:sz w:val="20"/>
                <w:szCs w:val="20"/>
              </w:rPr>
              <w:t>%</w:t>
            </w:r>
          </w:p>
        </w:tc>
      </w:tr>
    </w:tbl>
    <w:p w14:paraId="6EA51886" w14:textId="77777777" w:rsidR="00A018AD" w:rsidRPr="00A23055" w:rsidRDefault="00A018AD" w:rsidP="00B90075">
      <w:pPr>
        <w:spacing w:after="0" w:line="240" w:lineRule="auto"/>
        <w:jc w:val="both"/>
        <w:rPr>
          <w:rFonts w:asciiTheme="majorBidi" w:hAnsiTheme="majorBidi" w:cstheme="majorBidi"/>
          <w:b/>
          <w:bCs/>
          <w:sz w:val="24"/>
          <w:szCs w:val="24"/>
          <w:highlight w:val="yellow"/>
        </w:rPr>
      </w:pPr>
    </w:p>
    <w:p w14:paraId="4EAAB8CD" w14:textId="77777777" w:rsidR="00A018AD" w:rsidRPr="00A23055" w:rsidRDefault="00A018AD" w:rsidP="00E14CCF">
      <w:pPr>
        <w:spacing w:after="0" w:line="240" w:lineRule="auto"/>
        <w:jc w:val="center"/>
        <w:rPr>
          <w:rFonts w:asciiTheme="majorBidi" w:hAnsiTheme="majorBidi" w:cstheme="majorBidi"/>
          <w:b/>
          <w:bCs/>
          <w:sz w:val="24"/>
          <w:szCs w:val="24"/>
          <w:highlight w:val="yellow"/>
        </w:rPr>
      </w:pPr>
      <w:r w:rsidRPr="000240AD">
        <w:rPr>
          <w:rFonts w:asciiTheme="majorBidi" w:hAnsiTheme="majorBidi" w:cstheme="majorBidi"/>
          <w:noProof/>
          <w:sz w:val="24"/>
          <w:szCs w:val="24"/>
          <w:bdr w:val="single" w:sz="4" w:space="0" w:color="auto"/>
        </w:rPr>
        <w:lastRenderedPageBreak/>
        <w:drawing>
          <wp:inline distT="0" distB="0" distL="0" distR="0" wp14:anchorId="5415AEDA" wp14:editId="5AF7BA00">
            <wp:extent cx="2962275" cy="2809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l="23412" r="21634"/>
                    <a:stretch/>
                  </pic:blipFill>
                  <pic:spPr bwMode="auto">
                    <a:xfrm>
                      <a:off x="0" y="0"/>
                      <a:ext cx="2981114" cy="2827745"/>
                    </a:xfrm>
                    <a:prstGeom prst="rect">
                      <a:avLst/>
                    </a:prstGeom>
                    <a:noFill/>
                    <a:ln>
                      <a:noFill/>
                    </a:ln>
                    <a:extLst>
                      <a:ext uri="{53640926-AAD7-44D8-BBD7-CCE9431645EC}">
                        <a14:shadowObscured xmlns:a14="http://schemas.microsoft.com/office/drawing/2010/main"/>
                      </a:ext>
                    </a:extLst>
                  </pic:spPr>
                </pic:pic>
              </a:graphicData>
            </a:graphic>
          </wp:inline>
        </w:drawing>
      </w:r>
    </w:p>
    <w:p w14:paraId="06806E83" w14:textId="3AF0FDAC" w:rsidR="0095535C" w:rsidRPr="000240AD" w:rsidRDefault="0095535C" w:rsidP="000240AD">
      <w:pPr>
        <w:spacing w:after="0" w:line="240" w:lineRule="auto"/>
        <w:jc w:val="center"/>
        <w:rPr>
          <w:rFonts w:asciiTheme="majorBidi" w:hAnsiTheme="majorBidi" w:cstheme="majorBidi"/>
          <w:b/>
          <w:bCs/>
          <w:sz w:val="20"/>
          <w:szCs w:val="20"/>
        </w:rPr>
      </w:pPr>
      <w:r w:rsidRPr="000240AD">
        <w:rPr>
          <w:rFonts w:asciiTheme="majorBidi" w:hAnsiTheme="majorBidi" w:cstheme="majorBidi"/>
          <w:b/>
          <w:bCs/>
          <w:sz w:val="20"/>
          <w:szCs w:val="20"/>
        </w:rPr>
        <w:t>Figure</w:t>
      </w:r>
      <w:r w:rsidR="00524597" w:rsidRPr="000240AD">
        <w:rPr>
          <w:rFonts w:asciiTheme="majorBidi" w:hAnsiTheme="majorBidi" w:cstheme="majorBidi"/>
          <w:b/>
          <w:bCs/>
          <w:sz w:val="20"/>
          <w:szCs w:val="20"/>
        </w:rPr>
        <w:t xml:space="preserve"> </w:t>
      </w:r>
      <w:r w:rsidR="000240AD">
        <w:rPr>
          <w:rFonts w:asciiTheme="majorBidi" w:hAnsiTheme="majorBidi" w:cstheme="majorBidi"/>
          <w:b/>
          <w:bCs/>
          <w:sz w:val="20"/>
          <w:szCs w:val="20"/>
        </w:rPr>
        <w:t>(</w:t>
      </w:r>
      <w:r w:rsidRPr="000240AD">
        <w:rPr>
          <w:rFonts w:asciiTheme="majorBidi" w:hAnsiTheme="majorBidi" w:cstheme="majorBidi"/>
          <w:b/>
          <w:bCs/>
          <w:sz w:val="20"/>
          <w:szCs w:val="20"/>
        </w:rPr>
        <w:t>3</w:t>
      </w:r>
      <w:r w:rsidR="000240AD">
        <w:rPr>
          <w:rFonts w:asciiTheme="majorBidi" w:hAnsiTheme="majorBidi" w:cstheme="majorBidi"/>
          <w:b/>
          <w:bCs/>
          <w:sz w:val="20"/>
          <w:szCs w:val="20"/>
        </w:rPr>
        <w:t>)</w:t>
      </w:r>
      <w:r w:rsidRPr="000240AD">
        <w:rPr>
          <w:rFonts w:asciiTheme="majorBidi" w:hAnsiTheme="majorBidi" w:cstheme="majorBidi"/>
          <w:b/>
          <w:bCs/>
          <w:sz w:val="20"/>
          <w:szCs w:val="20"/>
        </w:rPr>
        <w:t>: Receiver operating characteristics curve of anti-TPO</w:t>
      </w:r>
      <w:r w:rsidR="000240AD">
        <w:rPr>
          <w:rFonts w:asciiTheme="majorBidi" w:hAnsiTheme="majorBidi" w:cstheme="majorBidi"/>
          <w:b/>
          <w:bCs/>
          <w:sz w:val="20"/>
          <w:szCs w:val="20"/>
        </w:rPr>
        <w:t>.</w:t>
      </w:r>
    </w:p>
    <w:p w14:paraId="081C497F" w14:textId="77777777" w:rsidR="0095535C" w:rsidRPr="00A23055" w:rsidRDefault="0095535C" w:rsidP="00B90075">
      <w:pPr>
        <w:spacing w:after="0" w:line="240" w:lineRule="auto"/>
        <w:jc w:val="both"/>
        <w:rPr>
          <w:rFonts w:asciiTheme="majorBidi" w:hAnsiTheme="majorBidi" w:cstheme="majorBidi"/>
          <w:b/>
          <w:bCs/>
          <w:sz w:val="24"/>
          <w:szCs w:val="24"/>
          <w:highlight w:val="yellow"/>
        </w:rPr>
      </w:pPr>
    </w:p>
    <w:p w14:paraId="17F8D085" w14:textId="77777777" w:rsidR="0061198D" w:rsidRDefault="0061198D" w:rsidP="00B90075">
      <w:pPr>
        <w:spacing w:after="0" w:line="240" w:lineRule="auto"/>
        <w:jc w:val="both"/>
        <w:rPr>
          <w:rFonts w:asciiTheme="majorBidi" w:hAnsiTheme="majorBidi" w:cstheme="majorBidi"/>
          <w:b/>
          <w:bCs/>
          <w:sz w:val="24"/>
          <w:szCs w:val="24"/>
        </w:rPr>
        <w:sectPr w:rsidR="0061198D" w:rsidSect="009F0C04">
          <w:type w:val="continuous"/>
          <w:pgSz w:w="11906" w:h="16838" w:code="9"/>
          <w:pgMar w:top="1701" w:right="1701" w:bottom="1701" w:left="1701" w:header="720" w:footer="720" w:gutter="0"/>
          <w:cols w:space="720"/>
          <w:titlePg/>
          <w:docGrid w:linePitch="360"/>
        </w:sectPr>
      </w:pPr>
    </w:p>
    <w:p w14:paraId="403C3F90" w14:textId="01D9B4C6" w:rsidR="00006549" w:rsidRPr="00A23055" w:rsidRDefault="00016546" w:rsidP="00B90075">
      <w:pPr>
        <w:spacing w:after="0" w:line="240" w:lineRule="auto"/>
        <w:jc w:val="both"/>
        <w:rPr>
          <w:rFonts w:asciiTheme="majorBidi" w:hAnsiTheme="majorBidi" w:cstheme="majorBidi"/>
          <w:b/>
          <w:bCs/>
          <w:sz w:val="24"/>
          <w:szCs w:val="24"/>
        </w:rPr>
      </w:pPr>
      <w:r w:rsidRPr="00A23055">
        <w:rPr>
          <w:rFonts w:asciiTheme="majorBidi" w:hAnsiTheme="majorBidi" w:cstheme="majorBidi"/>
          <w:b/>
          <w:bCs/>
          <w:sz w:val="24"/>
          <w:szCs w:val="24"/>
        </w:rPr>
        <w:t xml:space="preserve">Discussion </w:t>
      </w:r>
    </w:p>
    <w:p w14:paraId="625F5A84" w14:textId="404CB838" w:rsidR="00DE2D50" w:rsidRPr="00A23055" w:rsidRDefault="001E28D4" w:rsidP="00835624">
      <w:pPr>
        <w:pStyle w:val="NormalWeb"/>
        <w:spacing w:before="0" w:beforeAutospacing="0" w:after="0" w:afterAutospacing="0"/>
        <w:ind w:firstLine="426"/>
        <w:jc w:val="both"/>
        <w:rPr>
          <w:rFonts w:asciiTheme="majorBidi" w:hAnsiTheme="majorBidi" w:cstheme="majorBidi"/>
        </w:rPr>
      </w:pPr>
      <w:r w:rsidRPr="00A23055">
        <w:rPr>
          <w:rFonts w:asciiTheme="majorBidi" w:hAnsiTheme="majorBidi" w:cstheme="majorBidi"/>
        </w:rPr>
        <w:t>Antibodies such as anti-thyroid peroxidase (TPO</w:t>
      </w:r>
      <w:r w:rsidR="0037554D" w:rsidRPr="00A23055">
        <w:rPr>
          <w:rFonts w:asciiTheme="majorBidi" w:hAnsiTheme="majorBidi" w:cstheme="majorBidi"/>
        </w:rPr>
        <w:t xml:space="preserve">) </w:t>
      </w:r>
      <w:r w:rsidRPr="00A23055">
        <w:rPr>
          <w:rFonts w:asciiTheme="majorBidi" w:hAnsiTheme="majorBidi" w:cstheme="majorBidi"/>
        </w:rPr>
        <w:t>are commonly detected in patients wit</w:t>
      </w:r>
      <w:r w:rsidR="007C0AEA" w:rsidRPr="00A23055">
        <w:rPr>
          <w:rFonts w:asciiTheme="majorBidi" w:hAnsiTheme="majorBidi" w:cstheme="majorBidi"/>
        </w:rPr>
        <w:t xml:space="preserve">h autoimmune thyroid disorders, the current study detected </w:t>
      </w:r>
      <w:r w:rsidR="004C7BD9" w:rsidRPr="00A23055">
        <w:rPr>
          <w:rFonts w:asciiTheme="majorBidi" w:hAnsiTheme="majorBidi" w:cstheme="majorBidi"/>
        </w:rPr>
        <w:t>a</w:t>
      </w:r>
      <w:r w:rsidR="007C0AEA" w:rsidRPr="00A23055">
        <w:rPr>
          <w:rFonts w:asciiTheme="majorBidi" w:hAnsiTheme="majorBidi" w:cstheme="majorBidi"/>
        </w:rPr>
        <w:t xml:space="preserve"> high level of anti-TPO in patients group level compared to healthy one. This result consisted </w:t>
      </w:r>
      <w:r w:rsidR="004C7BD9" w:rsidRPr="00A23055">
        <w:rPr>
          <w:rFonts w:asciiTheme="majorBidi" w:hAnsiTheme="majorBidi" w:cstheme="majorBidi"/>
        </w:rPr>
        <w:t>of</w:t>
      </w:r>
      <w:r w:rsidR="007C0AEA" w:rsidRPr="00A23055">
        <w:rPr>
          <w:rFonts w:asciiTheme="majorBidi" w:hAnsiTheme="majorBidi" w:cstheme="majorBidi"/>
        </w:rPr>
        <w:t xml:space="preserve"> </w:t>
      </w:r>
      <w:r w:rsidR="004C7BD9" w:rsidRPr="00A23055">
        <w:rPr>
          <w:rFonts w:asciiTheme="majorBidi" w:hAnsiTheme="majorBidi" w:cstheme="majorBidi"/>
        </w:rPr>
        <w:t xml:space="preserve">a </w:t>
      </w:r>
      <w:r w:rsidR="007C0AEA" w:rsidRPr="00A23055">
        <w:rPr>
          <w:rFonts w:asciiTheme="majorBidi" w:hAnsiTheme="majorBidi" w:cstheme="majorBidi"/>
        </w:rPr>
        <w:t xml:space="preserve">previous </w:t>
      </w:r>
      <w:r w:rsidR="001225D2" w:rsidRPr="00A23055">
        <w:rPr>
          <w:rFonts w:asciiTheme="majorBidi" w:hAnsiTheme="majorBidi" w:cstheme="majorBidi"/>
        </w:rPr>
        <w:t>retrospective study that involve</w:t>
      </w:r>
      <w:r w:rsidR="004C7BD9" w:rsidRPr="00A23055">
        <w:rPr>
          <w:rFonts w:asciiTheme="majorBidi" w:hAnsiTheme="majorBidi" w:cstheme="majorBidi"/>
        </w:rPr>
        <w:t>d</w:t>
      </w:r>
      <w:r w:rsidR="001225D2" w:rsidRPr="00A23055">
        <w:rPr>
          <w:rFonts w:asciiTheme="majorBidi" w:hAnsiTheme="majorBidi" w:cstheme="majorBidi"/>
        </w:rPr>
        <w:t xml:space="preserve"> 141 Graves' disease (GD) patients in Basrah </w:t>
      </w:r>
      <w:r w:rsidR="004C7BD9" w:rsidRPr="00A23055">
        <w:rPr>
          <w:rFonts w:asciiTheme="majorBidi" w:hAnsiTheme="majorBidi" w:cstheme="majorBidi"/>
        </w:rPr>
        <w:t xml:space="preserve">and </w:t>
      </w:r>
      <w:r w:rsidR="001225D2" w:rsidRPr="00A23055">
        <w:rPr>
          <w:rFonts w:asciiTheme="majorBidi" w:hAnsiTheme="majorBidi" w:cstheme="majorBidi"/>
        </w:rPr>
        <w:t xml:space="preserve">found that 58.9% of patients tested positive for anti-TPO antibodies. Additionally, a "giraffe appearance" on thyroid ultrasonography was more prevalent in the anti-TPO positive group (87.0% vs. 13.0%; p=0.005) </w:t>
      </w:r>
      <w:r w:rsidR="008340AA" w:rsidRPr="00A23055">
        <w:rPr>
          <w:rFonts w:asciiTheme="majorBidi" w:hAnsiTheme="majorBidi" w:cstheme="majorBidi"/>
        </w:rPr>
        <w:t>(18)</w:t>
      </w:r>
      <w:r w:rsidR="001225D2" w:rsidRPr="00A23055">
        <w:rPr>
          <w:rFonts w:asciiTheme="majorBidi" w:hAnsiTheme="majorBidi" w:cstheme="majorBidi"/>
        </w:rPr>
        <w:t>.</w:t>
      </w:r>
      <w:r w:rsidR="00DE2D50" w:rsidRPr="00A23055">
        <w:rPr>
          <w:rFonts w:asciiTheme="majorBidi" w:hAnsiTheme="majorBidi" w:cstheme="majorBidi"/>
        </w:rPr>
        <w:t xml:space="preserve"> Another study similar to the result of </w:t>
      </w:r>
      <w:r w:rsidR="004C7BD9" w:rsidRPr="00A23055">
        <w:rPr>
          <w:rFonts w:asciiTheme="majorBidi" w:hAnsiTheme="majorBidi" w:cstheme="majorBidi"/>
        </w:rPr>
        <w:t xml:space="preserve">the </w:t>
      </w:r>
      <w:r w:rsidR="00BF5242" w:rsidRPr="00A23055">
        <w:rPr>
          <w:rFonts w:asciiTheme="majorBidi" w:hAnsiTheme="majorBidi" w:cstheme="majorBidi"/>
        </w:rPr>
        <w:t xml:space="preserve">current investigation done by </w:t>
      </w:r>
      <w:r w:rsidR="008340AA" w:rsidRPr="00A23055">
        <w:rPr>
          <w:rFonts w:asciiTheme="majorBidi" w:hAnsiTheme="majorBidi" w:cstheme="majorBidi"/>
        </w:rPr>
        <w:t>(19)</w:t>
      </w:r>
      <w:r w:rsidR="00DE2D50" w:rsidRPr="00A23055">
        <w:rPr>
          <w:rFonts w:asciiTheme="majorBidi" w:hAnsiTheme="majorBidi" w:cstheme="majorBidi"/>
        </w:rPr>
        <w:t xml:space="preserve"> revealed highly significant differences in these markers between the hypothyroid patient group and the control group furthermore, demonstrated that immunological markers, particularly anti-TPO protein levels, in hypothyroid individuals have been found to assist in diagnosis and predict clinical outcomes, indicating an increased risk of overt hypothyroidism in adults. </w:t>
      </w:r>
    </w:p>
    <w:p w14:paraId="2D2F8F10" w14:textId="14901B21" w:rsidR="00E471B2" w:rsidRPr="00E471B2" w:rsidRDefault="00D12D06" w:rsidP="00E471B2">
      <w:pPr>
        <w:spacing w:after="0" w:line="240" w:lineRule="auto"/>
        <w:ind w:firstLine="426"/>
        <w:jc w:val="both"/>
        <w:rPr>
          <w:rFonts w:asciiTheme="majorBidi" w:hAnsiTheme="majorBidi" w:cstheme="majorBidi"/>
          <w:sz w:val="24"/>
          <w:szCs w:val="24"/>
        </w:rPr>
      </w:pPr>
      <w:r w:rsidRPr="00A23055">
        <w:rPr>
          <w:rFonts w:asciiTheme="majorBidi" w:hAnsiTheme="majorBidi" w:cstheme="majorBidi"/>
          <w:sz w:val="24"/>
          <w:szCs w:val="24"/>
        </w:rPr>
        <w:t xml:space="preserve">A previous study, which was not directly comparable to this study, aimed to assess thyroid hormone levels and the prevalence of anti-TPO antibodies in Iranian female breast cancer patients compared to a control group. The results showed no statistically significant difference in serum anti-TPO levels between the breast cancer patients and the control group (p-value: 0.184). While no significant difference was found in T3 levels (p-value: 0.177), significant differences were observed in T4 and TSH levels between the two groups (p-value: 0.034 and &lt;0.001, respectively) </w:t>
      </w:r>
      <w:r w:rsidR="008340AA" w:rsidRPr="00A23055">
        <w:rPr>
          <w:rFonts w:asciiTheme="majorBidi" w:hAnsiTheme="majorBidi" w:cstheme="majorBidi"/>
          <w:sz w:val="24"/>
          <w:szCs w:val="24"/>
        </w:rPr>
        <w:t>(20)</w:t>
      </w:r>
      <w:r w:rsidRPr="00A23055">
        <w:rPr>
          <w:rFonts w:asciiTheme="majorBidi" w:hAnsiTheme="majorBidi" w:cstheme="majorBidi"/>
          <w:sz w:val="24"/>
          <w:szCs w:val="24"/>
        </w:rPr>
        <w:t xml:space="preserve">. Another study in Gorgan, Iran, evaluated the prevalence of anti-TPO antibodies among women with polycystic ovary syndrome (PCOS), celiac disease (CD), men with hepatitis C, and matched controls. Results showed significantly higher anti-TPO positivity in PCOS patients compared to controls (18.4% vs. 0%; p = 0.000). No significant difference was found between CD patients and controls (26.9% vs. 21.1%; p = 0.413). The control group had a higher incidence of anti-TPO positivity compared to hepatitis C patients (25% vs. 10%; p = </w:t>
      </w:r>
      <w:r w:rsidRPr="00A23055">
        <w:rPr>
          <w:rFonts w:asciiTheme="majorBidi" w:hAnsiTheme="majorBidi" w:cstheme="majorBidi"/>
          <w:sz w:val="24"/>
          <w:szCs w:val="24"/>
        </w:rPr>
        <w:lastRenderedPageBreak/>
        <w:t>0.031). Overall, high anti-TPO antibody levels were observed in both patients and healthy individuals, highlighting the need for autoimmune disorder screening in the region</w:t>
      </w:r>
      <w:r w:rsidR="008340AA" w:rsidRPr="00A23055">
        <w:rPr>
          <w:rFonts w:asciiTheme="majorBidi" w:hAnsiTheme="majorBidi" w:cstheme="majorBidi"/>
          <w:sz w:val="24"/>
          <w:szCs w:val="24"/>
        </w:rPr>
        <w:t xml:space="preserve"> (21)</w:t>
      </w:r>
      <w:r w:rsidRPr="00A23055">
        <w:rPr>
          <w:rFonts w:asciiTheme="majorBidi" w:hAnsiTheme="majorBidi" w:cstheme="majorBidi"/>
          <w:sz w:val="24"/>
          <w:szCs w:val="24"/>
        </w:rPr>
        <w:t>.</w:t>
      </w:r>
      <w:r w:rsidR="00B560B8" w:rsidRPr="00A23055">
        <w:rPr>
          <w:rFonts w:asciiTheme="majorBidi" w:hAnsiTheme="majorBidi" w:cstheme="majorBidi"/>
          <w:sz w:val="24"/>
          <w:szCs w:val="24"/>
        </w:rPr>
        <w:t xml:space="preserve"> </w:t>
      </w:r>
      <w:r w:rsidR="0054013F" w:rsidRPr="00A23055">
        <w:rPr>
          <w:rFonts w:asciiTheme="majorBidi" w:hAnsiTheme="majorBidi" w:cstheme="majorBidi"/>
          <w:sz w:val="24"/>
          <w:szCs w:val="24"/>
        </w:rPr>
        <w:t xml:space="preserve">Previous studies have reported findings consistent </w:t>
      </w:r>
      <w:r w:rsidR="0054013F" w:rsidRPr="00C6335B">
        <w:rPr>
          <w:rFonts w:asciiTheme="majorBidi" w:hAnsiTheme="majorBidi" w:cstheme="majorBidi"/>
          <w:color w:val="000000" w:themeColor="text1"/>
          <w:sz w:val="24"/>
          <w:szCs w:val="24"/>
        </w:rPr>
        <w:t xml:space="preserve">with </w:t>
      </w:r>
      <w:r w:rsidR="00A34733" w:rsidRPr="00C6335B">
        <w:rPr>
          <w:rFonts w:asciiTheme="majorBidi" w:hAnsiTheme="majorBidi" w:cstheme="majorBidi"/>
          <w:color w:val="000000" w:themeColor="text1"/>
          <w:sz w:val="24"/>
          <w:szCs w:val="24"/>
        </w:rPr>
        <w:t>this</w:t>
      </w:r>
      <w:r w:rsidR="0054013F" w:rsidRPr="00C6335B">
        <w:rPr>
          <w:rFonts w:asciiTheme="majorBidi" w:hAnsiTheme="majorBidi" w:cstheme="majorBidi"/>
          <w:color w:val="000000" w:themeColor="text1"/>
          <w:sz w:val="24"/>
          <w:szCs w:val="24"/>
        </w:rPr>
        <w:t xml:space="preserve"> research. For example, Zha </w:t>
      </w:r>
      <w:r w:rsidR="0054013F" w:rsidRPr="00C6335B">
        <w:rPr>
          <w:rFonts w:asciiTheme="majorBidi" w:hAnsiTheme="majorBidi" w:cstheme="majorBidi"/>
          <w:i/>
          <w:iCs/>
          <w:color w:val="000000" w:themeColor="text1"/>
          <w:sz w:val="24"/>
          <w:szCs w:val="24"/>
        </w:rPr>
        <w:t>et al.</w:t>
      </w:r>
      <w:r w:rsidR="0054013F" w:rsidRPr="00C6335B">
        <w:rPr>
          <w:rFonts w:asciiTheme="majorBidi" w:hAnsiTheme="majorBidi" w:cstheme="majorBidi"/>
          <w:color w:val="000000" w:themeColor="text1"/>
          <w:sz w:val="24"/>
          <w:szCs w:val="24"/>
        </w:rPr>
        <w:t xml:space="preserve"> </w:t>
      </w:r>
      <w:r w:rsidR="0054013F" w:rsidRPr="00A23055">
        <w:rPr>
          <w:rFonts w:asciiTheme="majorBidi" w:hAnsiTheme="majorBidi" w:cstheme="majorBidi"/>
          <w:sz w:val="24"/>
          <w:szCs w:val="24"/>
        </w:rPr>
        <w:t xml:space="preserve">investigated immune dysregulation in patients with Graves’ disease. Using </w:t>
      </w:r>
      <w:r w:rsidR="008C3959" w:rsidRPr="00A23055">
        <w:rPr>
          <w:rFonts w:asciiTheme="majorBidi" w:hAnsiTheme="majorBidi" w:cstheme="majorBidi"/>
          <w:sz w:val="24"/>
          <w:szCs w:val="24"/>
        </w:rPr>
        <w:t xml:space="preserve">the </w:t>
      </w:r>
      <w:r w:rsidR="0054013F" w:rsidRPr="00A23055">
        <w:rPr>
          <w:rFonts w:asciiTheme="majorBidi" w:hAnsiTheme="majorBidi" w:cstheme="majorBidi"/>
          <w:sz w:val="24"/>
          <w:szCs w:val="24"/>
        </w:rPr>
        <w:t xml:space="preserve">ELISA technique to measure TPO antibodies, they observed elevated TPO antibody levels. </w:t>
      </w:r>
      <w:r w:rsidR="00BF5242" w:rsidRPr="00A23055">
        <w:rPr>
          <w:rFonts w:asciiTheme="majorBidi" w:eastAsia="Times New Roman" w:hAnsiTheme="majorBidi" w:cstheme="majorBidi"/>
          <w:sz w:val="24"/>
          <w:szCs w:val="24"/>
        </w:rPr>
        <w:t>Their results indicated an association between elevated TPO antibody production and compromised regulatory function of (CD19+CD24hiCD27+ B cells), highlight</w:t>
      </w:r>
      <w:r w:rsidR="00647802" w:rsidRPr="00A23055">
        <w:rPr>
          <w:rFonts w:asciiTheme="majorBidi" w:eastAsia="Times New Roman" w:hAnsiTheme="majorBidi" w:cstheme="majorBidi"/>
          <w:sz w:val="24"/>
          <w:szCs w:val="24"/>
        </w:rPr>
        <w:t>ing</w:t>
      </w:r>
      <w:r w:rsidR="00BF5242" w:rsidRPr="00A23055">
        <w:rPr>
          <w:rFonts w:asciiTheme="majorBidi" w:eastAsia="Times New Roman" w:hAnsiTheme="majorBidi" w:cstheme="majorBidi"/>
          <w:sz w:val="24"/>
          <w:szCs w:val="24"/>
        </w:rPr>
        <w:t xml:space="preserve"> the role of compromised immune regulation in provoking thyroid autoimmunity</w:t>
      </w:r>
      <w:r w:rsidR="00BF5242" w:rsidRPr="00A23055">
        <w:rPr>
          <w:rFonts w:asciiTheme="majorBidi" w:hAnsiTheme="majorBidi" w:cstheme="majorBidi"/>
          <w:sz w:val="24"/>
          <w:szCs w:val="24"/>
        </w:rPr>
        <w:t xml:space="preserve"> </w:t>
      </w:r>
      <w:r w:rsidR="008340AA" w:rsidRPr="00A23055">
        <w:rPr>
          <w:rFonts w:asciiTheme="majorBidi" w:hAnsiTheme="majorBidi" w:cstheme="majorBidi"/>
          <w:sz w:val="24"/>
          <w:szCs w:val="24"/>
        </w:rPr>
        <w:t>(22)</w:t>
      </w:r>
      <w:r w:rsidR="0054013F" w:rsidRPr="00A23055">
        <w:rPr>
          <w:rFonts w:asciiTheme="majorBidi" w:hAnsiTheme="majorBidi" w:cstheme="majorBidi"/>
          <w:sz w:val="24"/>
          <w:szCs w:val="24"/>
        </w:rPr>
        <w:t>.</w:t>
      </w:r>
    </w:p>
    <w:p w14:paraId="2EB286CD" w14:textId="0287780A" w:rsidR="00BF5242" w:rsidRDefault="00BF5242" w:rsidP="00835624">
      <w:pPr>
        <w:spacing w:after="0" w:line="240" w:lineRule="auto"/>
        <w:ind w:firstLine="426"/>
        <w:jc w:val="both"/>
        <w:rPr>
          <w:rFonts w:asciiTheme="majorBidi" w:hAnsiTheme="majorBidi" w:cstheme="majorBidi"/>
          <w:sz w:val="24"/>
          <w:szCs w:val="24"/>
        </w:rPr>
      </w:pPr>
      <w:r w:rsidRPr="00A23055">
        <w:rPr>
          <w:rFonts w:asciiTheme="majorBidi" w:hAnsiTheme="majorBidi" w:cstheme="majorBidi"/>
          <w:sz w:val="24"/>
          <w:szCs w:val="24"/>
        </w:rPr>
        <w:t>This study provides evidence for autoimmune-mediated thyroid disorders, characterized by the disruption of thyroid hormone production. Significantly elevated TPO antibod</w:t>
      </w:r>
      <w:r w:rsidR="00647802" w:rsidRPr="00A23055">
        <w:rPr>
          <w:rFonts w:asciiTheme="majorBidi" w:hAnsiTheme="majorBidi" w:cstheme="majorBidi"/>
          <w:sz w:val="24"/>
          <w:szCs w:val="24"/>
        </w:rPr>
        <w:t>y</w:t>
      </w:r>
      <w:r w:rsidRPr="00A23055">
        <w:rPr>
          <w:rFonts w:asciiTheme="majorBidi" w:hAnsiTheme="majorBidi" w:cstheme="majorBidi"/>
          <w:sz w:val="24"/>
          <w:szCs w:val="24"/>
        </w:rPr>
        <w:t xml:space="preserve"> levels were observed in patients with thyroid disease, establishing their clinical effectiveness as a diagnostic biomarker. The diagnostic accuracy of the anti-TPO assay was validated through ROC curve analysis, demonstrating high sensitivity and specificity. These findings underscore the importance of anti-TPO testing in clinical </w:t>
      </w:r>
      <w:r w:rsidR="002B3852" w:rsidRPr="00A23055">
        <w:rPr>
          <w:rFonts w:asciiTheme="majorBidi" w:hAnsiTheme="majorBidi" w:cstheme="majorBidi"/>
          <w:sz w:val="24"/>
          <w:szCs w:val="24"/>
        </w:rPr>
        <w:t>studies</w:t>
      </w:r>
      <w:r w:rsidRPr="00A23055">
        <w:rPr>
          <w:rFonts w:asciiTheme="majorBidi" w:hAnsiTheme="majorBidi" w:cstheme="majorBidi"/>
          <w:sz w:val="24"/>
          <w:szCs w:val="24"/>
        </w:rPr>
        <w:t xml:space="preserve"> for the early detection and management of thyroid diseases.</w:t>
      </w:r>
    </w:p>
    <w:p w14:paraId="524803FB" w14:textId="6238AD2C" w:rsidR="00CB0515" w:rsidRPr="00C6335B" w:rsidRDefault="00CB0515" w:rsidP="00CB0515">
      <w:pPr>
        <w:spacing w:after="0" w:line="240" w:lineRule="auto"/>
        <w:ind w:firstLine="426"/>
        <w:jc w:val="both"/>
        <w:rPr>
          <w:rFonts w:asciiTheme="majorBidi" w:hAnsiTheme="majorBidi" w:cstheme="majorBidi"/>
          <w:color w:val="000000" w:themeColor="text1"/>
          <w:sz w:val="24"/>
          <w:szCs w:val="24"/>
        </w:rPr>
      </w:pPr>
      <w:r w:rsidRPr="00C6335B">
        <w:rPr>
          <w:rFonts w:asciiTheme="majorBidi" w:hAnsiTheme="majorBidi" w:cstheme="majorBidi"/>
          <w:color w:val="000000" w:themeColor="text1"/>
          <w:sz w:val="24"/>
          <w:szCs w:val="24"/>
        </w:rPr>
        <w:t xml:space="preserve">The association between anti-TPO and cytokine production is complex and indicates a significant role for anti-TPO in the inflammatory processes associated with AITD (23). The observed correlation between elevated anti-TPO titers and increased pro-inflammatory cytokine levels highlights the clinical significance of monitoring anti-TPO in Hashimoto's thyroiditis, as this relationship is pivotal for developing effective management </w:t>
      </w:r>
      <w:r w:rsidRPr="00C6335B">
        <w:rPr>
          <w:rFonts w:asciiTheme="majorBidi" w:hAnsiTheme="majorBidi" w:cstheme="majorBidi"/>
          <w:color w:val="000000" w:themeColor="text1"/>
          <w:sz w:val="24"/>
          <w:szCs w:val="24"/>
        </w:rPr>
        <w:t>strategies aimed at mitigating the inflammatory process and preventing progressive thyroid damage (24).</w:t>
      </w:r>
    </w:p>
    <w:p w14:paraId="776D6AF2" w14:textId="5CDCFD5A" w:rsidR="00E471B2" w:rsidRPr="00C6335B" w:rsidRDefault="00E471B2" w:rsidP="00CB0515">
      <w:pPr>
        <w:spacing w:after="0" w:line="240" w:lineRule="auto"/>
        <w:ind w:firstLine="426"/>
        <w:jc w:val="both"/>
        <w:rPr>
          <w:rFonts w:asciiTheme="majorBidi" w:hAnsiTheme="majorBidi" w:cstheme="majorBidi"/>
          <w:color w:val="000000" w:themeColor="text1"/>
          <w:sz w:val="24"/>
          <w:szCs w:val="24"/>
        </w:rPr>
      </w:pPr>
      <w:r w:rsidRPr="00C6335B">
        <w:rPr>
          <w:rFonts w:asciiTheme="majorBidi" w:hAnsiTheme="majorBidi" w:cstheme="majorBidi"/>
          <w:color w:val="000000" w:themeColor="text1"/>
          <w:sz w:val="24"/>
          <w:szCs w:val="24"/>
        </w:rPr>
        <w:t xml:space="preserve">The research elucidates a statistically significant positive correlation between elevated </w:t>
      </w:r>
      <w:r w:rsidR="0075087A" w:rsidRPr="00C6335B">
        <w:rPr>
          <w:rFonts w:asciiTheme="majorBidi" w:hAnsiTheme="majorBidi" w:cstheme="majorBidi"/>
          <w:color w:val="000000" w:themeColor="text1"/>
          <w:sz w:val="24"/>
          <w:szCs w:val="24"/>
        </w:rPr>
        <w:t>ATPO</w:t>
      </w:r>
      <w:r w:rsidRPr="00C6335B">
        <w:rPr>
          <w:rFonts w:asciiTheme="majorBidi" w:hAnsiTheme="majorBidi" w:cstheme="majorBidi"/>
          <w:color w:val="000000" w:themeColor="text1"/>
          <w:sz w:val="24"/>
          <w:szCs w:val="24"/>
        </w:rPr>
        <w:t xml:space="preserve"> titers, exceeding 1000 U/ml, and a concomitant increase in the frequency of T lymphocytes expressing Th1/Tc1 cytokines, notably interferon-gamma (IFN-γ) and tumor necrosis factor-alpha (TNF-α), within a cohort of individuals diagnosed with Hashimoto's thyroiditis. These observed elevations in cytokine expression, indicative of a pronounced pro-inflammatory milieu, are posited to contribute to the pathophysiological mechanisms underlying thyroid follicular cell damage and subsequent cellular demise (</w:t>
      </w:r>
      <w:r w:rsidR="00CB0515" w:rsidRPr="00C6335B">
        <w:rPr>
          <w:rFonts w:asciiTheme="majorBidi" w:hAnsiTheme="majorBidi" w:cstheme="majorBidi"/>
          <w:color w:val="000000" w:themeColor="text1"/>
          <w:sz w:val="24"/>
          <w:szCs w:val="24"/>
        </w:rPr>
        <w:t>25</w:t>
      </w:r>
      <w:r w:rsidRPr="00C6335B">
        <w:rPr>
          <w:rFonts w:asciiTheme="majorBidi" w:hAnsiTheme="majorBidi" w:cstheme="majorBidi"/>
          <w:color w:val="000000" w:themeColor="text1"/>
          <w:sz w:val="24"/>
          <w:szCs w:val="24"/>
        </w:rPr>
        <w:t>).</w:t>
      </w:r>
    </w:p>
    <w:p w14:paraId="330E9CE9" w14:textId="13B139FB" w:rsidR="00CB0515" w:rsidRPr="00C6335B" w:rsidRDefault="008B6619" w:rsidP="00CB0515">
      <w:pPr>
        <w:spacing w:after="0" w:line="240" w:lineRule="auto"/>
        <w:ind w:firstLine="426"/>
        <w:jc w:val="both"/>
        <w:rPr>
          <w:rFonts w:asciiTheme="majorBidi" w:hAnsiTheme="majorBidi" w:cstheme="majorBidi"/>
          <w:color w:val="000000" w:themeColor="text1"/>
          <w:sz w:val="24"/>
          <w:szCs w:val="24"/>
        </w:rPr>
      </w:pPr>
      <w:r w:rsidRPr="00A23055">
        <w:rPr>
          <w:rFonts w:asciiTheme="majorBidi" w:hAnsiTheme="majorBidi" w:cstheme="majorBidi"/>
          <w:sz w:val="24"/>
          <w:szCs w:val="24"/>
        </w:rPr>
        <w:t>A</w:t>
      </w:r>
      <w:r w:rsidR="001E28D4" w:rsidRPr="00A23055">
        <w:rPr>
          <w:rFonts w:asciiTheme="majorBidi" w:hAnsiTheme="majorBidi" w:cstheme="majorBidi"/>
          <w:sz w:val="24"/>
          <w:szCs w:val="24"/>
        </w:rPr>
        <w:t xml:space="preserve"> multifunctional cytokine with immunosuppressive and antiangiogenic properties</w:t>
      </w:r>
      <w:r w:rsidRPr="00A23055">
        <w:rPr>
          <w:rFonts w:asciiTheme="majorBidi" w:hAnsiTheme="majorBidi" w:cstheme="majorBidi"/>
          <w:sz w:val="24"/>
          <w:szCs w:val="24"/>
        </w:rPr>
        <w:t xml:space="preserve"> is IL</w:t>
      </w:r>
      <w:r w:rsidRPr="00C6335B">
        <w:rPr>
          <w:rFonts w:asciiTheme="majorBidi" w:hAnsiTheme="majorBidi" w:cstheme="majorBidi"/>
          <w:color w:val="000000" w:themeColor="text1"/>
          <w:sz w:val="24"/>
          <w:szCs w:val="24"/>
        </w:rPr>
        <w:t>-10</w:t>
      </w:r>
      <w:r w:rsidR="001E28D4" w:rsidRPr="00C6335B">
        <w:rPr>
          <w:rFonts w:asciiTheme="majorBidi" w:hAnsiTheme="majorBidi" w:cstheme="majorBidi"/>
          <w:color w:val="000000" w:themeColor="text1"/>
          <w:sz w:val="24"/>
          <w:szCs w:val="24"/>
        </w:rPr>
        <w:t xml:space="preserve">, </w:t>
      </w:r>
      <w:r w:rsidRPr="00C6335B">
        <w:rPr>
          <w:rFonts w:asciiTheme="majorBidi" w:hAnsiTheme="majorBidi" w:cstheme="majorBidi"/>
          <w:color w:val="000000" w:themeColor="text1"/>
          <w:sz w:val="24"/>
          <w:szCs w:val="24"/>
        </w:rPr>
        <w:t>singing</w:t>
      </w:r>
      <w:r w:rsidR="001E28D4" w:rsidRPr="00C6335B">
        <w:rPr>
          <w:rFonts w:asciiTheme="majorBidi" w:hAnsiTheme="majorBidi" w:cstheme="majorBidi"/>
          <w:color w:val="000000" w:themeColor="text1"/>
          <w:sz w:val="24"/>
          <w:szCs w:val="24"/>
        </w:rPr>
        <w:t xml:space="preserve"> </w:t>
      </w:r>
      <w:r w:rsidRPr="00C6335B">
        <w:rPr>
          <w:rFonts w:asciiTheme="majorBidi" w:hAnsiTheme="majorBidi" w:cstheme="majorBidi"/>
          <w:color w:val="000000" w:themeColor="text1"/>
          <w:sz w:val="24"/>
          <w:szCs w:val="24"/>
        </w:rPr>
        <w:t>assorted</w:t>
      </w:r>
      <w:r w:rsidR="001E28D4" w:rsidRPr="00C6335B">
        <w:rPr>
          <w:rFonts w:asciiTheme="majorBidi" w:hAnsiTheme="majorBidi" w:cstheme="majorBidi"/>
          <w:color w:val="000000" w:themeColor="text1"/>
          <w:sz w:val="24"/>
          <w:szCs w:val="24"/>
        </w:rPr>
        <w:t xml:space="preserve"> </w:t>
      </w:r>
      <w:r w:rsidRPr="00C6335B">
        <w:rPr>
          <w:rFonts w:asciiTheme="majorBidi" w:hAnsiTheme="majorBidi" w:cstheme="majorBidi"/>
          <w:color w:val="000000" w:themeColor="text1"/>
          <w:sz w:val="24"/>
          <w:szCs w:val="24"/>
        </w:rPr>
        <w:t>function</w:t>
      </w:r>
      <w:r w:rsidR="00647802" w:rsidRPr="00C6335B">
        <w:rPr>
          <w:rFonts w:asciiTheme="majorBidi" w:hAnsiTheme="majorBidi" w:cstheme="majorBidi"/>
          <w:color w:val="000000" w:themeColor="text1"/>
          <w:sz w:val="24"/>
          <w:szCs w:val="24"/>
        </w:rPr>
        <w:t>s</w:t>
      </w:r>
      <w:r w:rsidR="001E28D4" w:rsidRPr="00C6335B">
        <w:rPr>
          <w:rFonts w:asciiTheme="majorBidi" w:hAnsiTheme="majorBidi" w:cstheme="majorBidi"/>
          <w:color w:val="000000" w:themeColor="text1"/>
          <w:sz w:val="24"/>
          <w:szCs w:val="24"/>
        </w:rPr>
        <w:t xml:space="preserve"> in the etiology and progression of cancer</w:t>
      </w:r>
      <w:r w:rsidR="009E7326" w:rsidRPr="00C6335B">
        <w:rPr>
          <w:rFonts w:asciiTheme="majorBidi" w:hAnsiTheme="majorBidi" w:cstheme="majorBidi"/>
          <w:color w:val="000000" w:themeColor="text1"/>
          <w:sz w:val="24"/>
          <w:szCs w:val="24"/>
        </w:rPr>
        <w:t xml:space="preserve"> (</w:t>
      </w:r>
      <w:r w:rsidR="00CB0515" w:rsidRPr="00C6335B">
        <w:rPr>
          <w:rFonts w:asciiTheme="majorBidi" w:hAnsiTheme="majorBidi" w:cstheme="majorBidi"/>
          <w:color w:val="000000" w:themeColor="text1"/>
          <w:sz w:val="24"/>
          <w:szCs w:val="24"/>
        </w:rPr>
        <w:t>26</w:t>
      </w:r>
      <w:r w:rsidR="009E7326" w:rsidRPr="00C6335B">
        <w:rPr>
          <w:rFonts w:asciiTheme="majorBidi" w:hAnsiTheme="majorBidi" w:cstheme="majorBidi"/>
          <w:color w:val="000000" w:themeColor="text1"/>
          <w:sz w:val="24"/>
          <w:szCs w:val="24"/>
        </w:rPr>
        <w:t>)</w:t>
      </w:r>
      <w:r w:rsidR="001E28D4" w:rsidRPr="00C6335B">
        <w:rPr>
          <w:rFonts w:asciiTheme="majorBidi" w:hAnsiTheme="majorBidi" w:cstheme="majorBidi"/>
          <w:color w:val="000000" w:themeColor="text1"/>
          <w:sz w:val="24"/>
          <w:szCs w:val="24"/>
        </w:rPr>
        <w:t xml:space="preserve">. </w:t>
      </w:r>
    </w:p>
    <w:p w14:paraId="190FC3D5" w14:textId="2C8C596A" w:rsidR="001E28D4" w:rsidRPr="00C6335B" w:rsidRDefault="00CF1ACE" w:rsidP="00CB0515">
      <w:pPr>
        <w:spacing w:after="0" w:line="240" w:lineRule="auto"/>
        <w:ind w:firstLine="426"/>
        <w:jc w:val="both"/>
        <w:rPr>
          <w:rFonts w:asciiTheme="majorBidi" w:eastAsia="Times New Roman" w:hAnsiTheme="majorBidi" w:cstheme="majorBidi"/>
          <w:color w:val="000000" w:themeColor="text1"/>
          <w:sz w:val="24"/>
          <w:szCs w:val="24"/>
        </w:rPr>
      </w:pPr>
      <w:r w:rsidRPr="00C6335B">
        <w:rPr>
          <w:rFonts w:asciiTheme="majorBidi" w:eastAsia="Times New Roman" w:hAnsiTheme="majorBidi" w:cstheme="majorBidi"/>
          <w:color w:val="000000" w:themeColor="text1"/>
          <w:sz w:val="24"/>
          <w:szCs w:val="24"/>
        </w:rPr>
        <w:t xml:space="preserve">Considering the cells that express IL-10 are distributed differently throughout tissue compartments and under different stimulation conditions, it is still unknown which mechanisms underlie its receptor- and cell-type-specific production. Furthermore, it suggests that inherited determinants affect the patterns of human IL-10 expression, leading to variations in its expression and increased susceptibility to disease </w:t>
      </w:r>
      <w:r w:rsidR="009E7326" w:rsidRPr="00C6335B">
        <w:rPr>
          <w:rFonts w:asciiTheme="majorBidi" w:hAnsiTheme="majorBidi" w:cstheme="majorBidi"/>
          <w:color w:val="000000" w:themeColor="text1"/>
          <w:sz w:val="24"/>
          <w:szCs w:val="24"/>
        </w:rPr>
        <w:t>(</w:t>
      </w:r>
      <w:r w:rsidR="00CB0515" w:rsidRPr="00C6335B">
        <w:rPr>
          <w:rFonts w:asciiTheme="majorBidi" w:hAnsiTheme="majorBidi" w:cstheme="majorBidi"/>
          <w:color w:val="000000" w:themeColor="text1"/>
          <w:sz w:val="24"/>
          <w:szCs w:val="24"/>
        </w:rPr>
        <w:t>27</w:t>
      </w:r>
      <w:r w:rsidR="009E7326" w:rsidRPr="00C6335B">
        <w:rPr>
          <w:rFonts w:asciiTheme="majorBidi" w:hAnsiTheme="majorBidi" w:cstheme="majorBidi"/>
          <w:color w:val="000000" w:themeColor="text1"/>
          <w:sz w:val="24"/>
          <w:szCs w:val="24"/>
        </w:rPr>
        <w:t>)</w:t>
      </w:r>
      <w:r w:rsidR="001E28D4" w:rsidRPr="00C6335B">
        <w:rPr>
          <w:rFonts w:asciiTheme="majorBidi" w:hAnsiTheme="majorBidi" w:cstheme="majorBidi"/>
          <w:color w:val="000000" w:themeColor="text1"/>
          <w:sz w:val="24"/>
          <w:szCs w:val="24"/>
        </w:rPr>
        <w:t xml:space="preserve">. </w:t>
      </w:r>
    </w:p>
    <w:p w14:paraId="0CD872DC" w14:textId="349BE0CF" w:rsidR="0095535C" w:rsidRPr="00C6335B" w:rsidRDefault="00CF1ACE" w:rsidP="00CB0515">
      <w:pPr>
        <w:spacing w:after="0" w:line="240" w:lineRule="auto"/>
        <w:ind w:firstLine="426"/>
        <w:jc w:val="both"/>
        <w:rPr>
          <w:rFonts w:asciiTheme="majorBidi" w:eastAsia="Times New Roman" w:hAnsiTheme="majorBidi" w:cstheme="majorBidi"/>
          <w:color w:val="000000" w:themeColor="text1"/>
          <w:sz w:val="24"/>
          <w:szCs w:val="24"/>
        </w:rPr>
      </w:pPr>
      <w:r w:rsidRPr="00A23055">
        <w:rPr>
          <w:rFonts w:asciiTheme="majorBidi" w:eastAsia="Times New Roman" w:hAnsiTheme="majorBidi" w:cstheme="majorBidi"/>
          <w:sz w:val="24"/>
          <w:szCs w:val="24"/>
        </w:rPr>
        <w:t>The current study found no significant difference in IL-10 levels between thyroid disorder patients and healthy controls. This may be attributed to the complex factors influencing regulatory B cell function. These factors can potentially inhibit cytokine activity or suppress cytokine production. Previous research has demonstrated that other</w:t>
      </w:r>
      <w:r w:rsidR="00CB0515">
        <w:rPr>
          <w:rFonts w:asciiTheme="majorBidi" w:eastAsia="Times New Roman" w:hAnsiTheme="majorBidi" w:cstheme="majorBidi"/>
          <w:sz w:val="24"/>
          <w:szCs w:val="24"/>
        </w:rPr>
        <w:t xml:space="preserve"> cytokines, such as</w:t>
      </w:r>
      <w:r w:rsidRPr="00A23055">
        <w:rPr>
          <w:rFonts w:asciiTheme="majorBidi" w:eastAsia="Times New Roman" w:hAnsiTheme="majorBidi" w:cstheme="majorBidi"/>
          <w:sz w:val="24"/>
          <w:szCs w:val="24"/>
        </w:rPr>
        <w:t xml:space="preserve"> (IFN-γ), produced by T lymphocytes and natural </w:t>
      </w:r>
      <w:r w:rsidRPr="00A23055">
        <w:rPr>
          <w:rFonts w:asciiTheme="majorBidi" w:eastAsia="Times New Roman" w:hAnsiTheme="majorBidi" w:cstheme="majorBidi"/>
          <w:sz w:val="24"/>
          <w:szCs w:val="24"/>
        </w:rPr>
        <w:lastRenderedPageBreak/>
        <w:t xml:space="preserve">killer cells, can suppress IL-10 release from regulatory B cells. Additionally, regulatory B cells may develop resistance to IL-10 by increasing IFN-γ excretion; </w:t>
      </w:r>
      <w:r w:rsidRPr="00C6335B">
        <w:rPr>
          <w:rFonts w:asciiTheme="majorBidi" w:eastAsia="Times New Roman" w:hAnsiTheme="majorBidi" w:cstheme="majorBidi"/>
          <w:color w:val="000000" w:themeColor="text1"/>
          <w:sz w:val="24"/>
          <w:szCs w:val="24"/>
        </w:rPr>
        <w:t>thereby reduc</w:t>
      </w:r>
      <w:r w:rsidR="00647802" w:rsidRPr="00C6335B">
        <w:rPr>
          <w:rFonts w:asciiTheme="majorBidi" w:eastAsia="Times New Roman" w:hAnsiTheme="majorBidi" w:cstheme="majorBidi"/>
          <w:color w:val="000000" w:themeColor="text1"/>
          <w:sz w:val="24"/>
          <w:szCs w:val="24"/>
        </w:rPr>
        <w:t>ing</w:t>
      </w:r>
      <w:r w:rsidRPr="00C6335B">
        <w:rPr>
          <w:rFonts w:asciiTheme="majorBidi" w:eastAsia="Times New Roman" w:hAnsiTheme="majorBidi" w:cstheme="majorBidi"/>
          <w:color w:val="000000" w:themeColor="text1"/>
          <w:sz w:val="24"/>
          <w:szCs w:val="24"/>
        </w:rPr>
        <w:t xml:space="preserve"> the efficiency of IL-10 </w:t>
      </w:r>
      <w:r w:rsidR="009E7326" w:rsidRPr="00C6335B">
        <w:rPr>
          <w:rFonts w:asciiTheme="majorBidi" w:eastAsia="Times New Roman" w:hAnsiTheme="majorBidi" w:cstheme="majorBidi"/>
          <w:color w:val="000000" w:themeColor="text1"/>
          <w:sz w:val="24"/>
          <w:szCs w:val="24"/>
        </w:rPr>
        <w:t>(</w:t>
      </w:r>
      <w:r w:rsidR="00CB0515" w:rsidRPr="00C6335B">
        <w:rPr>
          <w:rFonts w:asciiTheme="majorBidi" w:eastAsia="Times New Roman" w:hAnsiTheme="majorBidi" w:cstheme="majorBidi"/>
          <w:color w:val="000000" w:themeColor="text1"/>
          <w:sz w:val="24"/>
          <w:szCs w:val="24"/>
        </w:rPr>
        <w:t>28</w:t>
      </w:r>
      <w:r w:rsidR="009E7326" w:rsidRPr="00C6335B">
        <w:rPr>
          <w:rFonts w:asciiTheme="majorBidi" w:eastAsia="Times New Roman" w:hAnsiTheme="majorBidi" w:cstheme="majorBidi"/>
          <w:color w:val="000000" w:themeColor="text1"/>
          <w:sz w:val="24"/>
          <w:szCs w:val="24"/>
        </w:rPr>
        <w:t>)</w:t>
      </w:r>
      <w:r w:rsidR="001E28D4" w:rsidRPr="00C6335B">
        <w:rPr>
          <w:rFonts w:asciiTheme="majorBidi" w:eastAsia="Times New Roman" w:hAnsiTheme="majorBidi" w:cstheme="majorBidi"/>
          <w:color w:val="000000" w:themeColor="text1"/>
          <w:sz w:val="24"/>
          <w:szCs w:val="24"/>
        </w:rPr>
        <w:t xml:space="preserve">. </w:t>
      </w:r>
    </w:p>
    <w:p w14:paraId="52C538D0" w14:textId="371E4B1D" w:rsidR="00487633" w:rsidRPr="007862AA" w:rsidRDefault="0009642C" w:rsidP="007862AA">
      <w:pPr>
        <w:spacing w:after="0" w:line="240" w:lineRule="auto"/>
        <w:ind w:firstLine="426"/>
        <w:jc w:val="both"/>
        <w:rPr>
          <w:rFonts w:asciiTheme="majorBidi" w:hAnsiTheme="majorBidi" w:cstheme="majorBidi"/>
          <w:sz w:val="24"/>
          <w:szCs w:val="24"/>
        </w:rPr>
      </w:pPr>
      <w:r w:rsidRPr="00C6335B">
        <w:rPr>
          <w:rFonts w:asciiTheme="majorBidi" w:hAnsiTheme="majorBidi" w:cstheme="majorBidi"/>
          <w:color w:val="000000" w:themeColor="text1"/>
          <w:sz w:val="24"/>
          <w:szCs w:val="24"/>
        </w:rPr>
        <w:t xml:space="preserve">According to the current investigation, the lack of statistically significant differences in IL-10 serum levels between patients and healthy controls among the Iraqi population suggests a limited role for </w:t>
      </w:r>
      <w:r w:rsidR="009A6D35" w:rsidRPr="00A23055">
        <w:rPr>
          <w:rFonts w:asciiTheme="majorBidi" w:hAnsiTheme="majorBidi" w:cstheme="majorBidi"/>
          <w:sz w:val="24"/>
          <w:szCs w:val="24"/>
        </w:rPr>
        <w:t>this cytokine</w:t>
      </w:r>
      <w:r w:rsidRPr="00A23055">
        <w:rPr>
          <w:rFonts w:asciiTheme="majorBidi" w:hAnsiTheme="majorBidi" w:cstheme="majorBidi"/>
          <w:sz w:val="24"/>
          <w:szCs w:val="24"/>
        </w:rPr>
        <w:t xml:space="preserve"> in the pathogenesis of autoimmune</w:t>
      </w:r>
      <w:r w:rsidR="00647802" w:rsidRPr="00A23055">
        <w:rPr>
          <w:rFonts w:asciiTheme="majorBidi" w:hAnsiTheme="majorBidi" w:cstheme="majorBidi"/>
          <w:sz w:val="24"/>
          <w:szCs w:val="24"/>
        </w:rPr>
        <w:t>-</w:t>
      </w:r>
      <w:r w:rsidRPr="00A23055">
        <w:rPr>
          <w:rFonts w:asciiTheme="majorBidi" w:hAnsiTheme="majorBidi" w:cstheme="majorBidi"/>
          <w:sz w:val="24"/>
          <w:szCs w:val="24"/>
        </w:rPr>
        <w:t>related thyroid disorders. Even though the impact of treatment-related medications on IL-10 levels cannot be completely controll</w:t>
      </w:r>
      <w:r w:rsidR="00647802" w:rsidRPr="00A23055">
        <w:rPr>
          <w:rFonts w:asciiTheme="majorBidi" w:hAnsiTheme="majorBidi" w:cstheme="majorBidi"/>
          <w:sz w:val="24"/>
          <w:szCs w:val="24"/>
        </w:rPr>
        <w:t>ed</w:t>
      </w:r>
      <w:r w:rsidRPr="00A23055">
        <w:rPr>
          <w:rFonts w:asciiTheme="majorBidi" w:hAnsiTheme="majorBidi" w:cstheme="majorBidi"/>
          <w:sz w:val="24"/>
          <w:szCs w:val="24"/>
        </w:rPr>
        <w:t xml:space="preserve"> and the inflammatory response that may interact with </w:t>
      </w:r>
      <w:r w:rsidR="00647802" w:rsidRPr="00A23055">
        <w:rPr>
          <w:rFonts w:asciiTheme="majorBidi" w:hAnsiTheme="majorBidi" w:cstheme="majorBidi"/>
          <w:sz w:val="24"/>
          <w:szCs w:val="24"/>
        </w:rPr>
        <w:t xml:space="preserve">the </w:t>
      </w:r>
      <w:r w:rsidRPr="00A23055">
        <w:rPr>
          <w:rFonts w:asciiTheme="majorBidi" w:hAnsiTheme="majorBidi" w:cstheme="majorBidi"/>
          <w:sz w:val="24"/>
          <w:szCs w:val="24"/>
        </w:rPr>
        <w:t xml:space="preserve">IL-10 signaling pathway, further research is needed to investigate this possibility and explore the correlation between </w:t>
      </w:r>
      <w:r w:rsidR="009A6D35" w:rsidRPr="00A23055">
        <w:rPr>
          <w:rFonts w:asciiTheme="majorBidi" w:hAnsiTheme="majorBidi" w:cstheme="majorBidi"/>
          <w:sz w:val="24"/>
          <w:szCs w:val="24"/>
        </w:rPr>
        <w:t>this cytokine</w:t>
      </w:r>
      <w:r w:rsidRPr="00A23055">
        <w:rPr>
          <w:rFonts w:asciiTheme="majorBidi" w:hAnsiTheme="majorBidi" w:cstheme="majorBidi"/>
          <w:sz w:val="24"/>
          <w:szCs w:val="24"/>
        </w:rPr>
        <w:t xml:space="preserve"> and specific medications used in thyroid disease management. Moreover, larger studies are required to validate these findings and examine the molecular mechanisms underlying </w:t>
      </w:r>
      <w:r w:rsidR="009A6D35" w:rsidRPr="00A23055">
        <w:rPr>
          <w:rFonts w:asciiTheme="majorBidi" w:hAnsiTheme="majorBidi" w:cstheme="majorBidi"/>
          <w:sz w:val="24"/>
          <w:szCs w:val="24"/>
        </w:rPr>
        <w:t>the function of IL-10</w:t>
      </w:r>
      <w:r w:rsidRPr="00A23055">
        <w:rPr>
          <w:rFonts w:asciiTheme="majorBidi" w:hAnsiTheme="majorBidi" w:cstheme="majorBidi"/>
          <w:sz w:val="24"/>
          <w:szCs w:val="24"/>
        </w:rPr>
        <w:t xml:space="preserve"> in thyroid disorders.</w:t>
      </w:r>
    </w:p>
    <w:p w14:paraId="5C35FCBB" w14:textId="62758D93" w:rsidR="00016546" w:rsidRPr="00A23055" w:rsidRDefault="00016546" w:rsidP="00B90075">
      <w:pPr>
        <w:spacing w:after="0" w:line="240" w:lineRule="auto"/>
        <w:jc w:val="both"/>
        <w:rPr>
          <w:rFonts w:asciiTheme="majorBidi" w:hAnsiTheme="majorBidi" w:cstheme="majorBidi"/>
          <w:b/>
          <w:bCs/>
          <w:sz w:val="24"/>
          <w:szCs w:val="24"/>
        </w:rPr>
      </w:pPr>
      <w:r w:rsidRPr="00A23055">
        <w:rPr>
          <w:rFonts w:asciiTheme="majorBidi" w:hAnsiTheme="majorBidi" w:cstheme="majorBidi"/>
          <w:b/>
          <w:bCs/>
          <w:sz w:val="24"/>
          <w:szCs w:val="24"/>
        </w:rPr>
        <w:t>Conclusion</w:t>
      </w:r>
    </w:p>
    <w:p w14:paraId="576F8BC3" w14:textId="6BAE28CA" w:rsidR="009A6D35" w:rsidRPr="00A23055" w:rsidRDefault="00730467" w:rsidP="00835624">
      <w:pPr>
        <w:spacing w:after="0" w:line="240" w:lineRule="auto"/>
        <w:ind w:firstLine="426"/>
        <w:jc w:val="both"/>
        <w:rPr>
          <w:rFonts w:asciiTheme="majorBidi" w:hAnsiTheme="majorBidi" w:cstheme="majorBidi"/>
          <w:sz w:val="24"/>
          <w:szCs w:val="24"/>
        </w:rPr>
      </w:pPr>
      <w:r w:rsidRPr="00A23055">
        <w:rPr>
          <w:rFonts w:asciiTheme="majorBidi" w:hAnsiTheme="majorBidi" w:cstheme="majorBidi"/>
          <w:sz w:val="24"/>
          <w:szCs w:val="24"/>
        </w:rPr>
        <w:t>This study highlights autoimmune</w:t>
      </w:r>
      <w:r w:rsidR="00647802" w:rsidRPr="00A23055">
        <w:rPr>
          <w:rFonts w:asciiTheme="majorBidi" w:hAnsiTheme="majorBidi" w:cstheme="majorBidi"/>
          <w:sz w:val="24"/>
          <w:szCs w:val="24"/>
        </w:rPr>
        <w:t xml:space="preserve">-related </w:t>
      </w:r>
      <w:r w:rsidRPr="00A23055">
        <w:rPr>
          <w:rFonts w:asciiTheme="majorBidi" w:hAnsiTheme="majorBidi" w:cstheme="majorBidi"/>
          <w:sz w:val="24"/>
          <w:szCs w:val="24"/>
        </w:rPr>
        <w:t xml:space="preserve">thyroid disorders and the </w:t>
      </w:r>
      <w:r w:rsidR="00647802" w:rsidRPr="00A23055">
        <w:rPr>
          <w:rFonts w:asciiTheme="majorBidi" w:hAnsiTheme="majorBidi" w:cstheme="majorBidi"/>
          <w:sz w:val="24"/>
          <w:szCs w:val="24"/>
        </w:rPr>
        <w:t>important</w:t>
      </w:r>
      <w:r w:rsidRPr="00A23055">
        <w:rPr>
          <w:rFonts w:asciiTheme="majorBidi" w:hAnsiTheme="majorBidi" w:cstheme="majorBidi"/>
          <w:sz w:val="24"/>
          <w:szCs w:val="24"/>
        </w:rPr>
        <w:t xml:space="preserve"> role of the immune system in compromising thyroid function. Elevated TPO antibody levels</w:t>
      </w:r>
      <w:r w:rsidR="00647802" w:rsidRPr="00A23055">
        <w:rPr>
          <w:rFonts w:asciiTheme="majorBidi" w:hAnsiTheme="majorBidi" w:cstheme="majorBidi"/>
          <w:sz w:val="24"/>
          <w:szCs w:val="24"/>
        </w:rPr>
        <w:t xml:space="preserve"> in patients</w:t>
      </w:r>
      <w:r w:rsidRPr="00A23055">
        <w:rPr>
          <w:rFonts w:asciiTheme="majorBidi" w:hAnsiTheme="majorBidi" w:cstheme="majorBidi"/>
          <w:sz w:val="24"/>
          <w:szCs w:val="24"/>
        </w:rPr>
        <w:t xml:space="preserve">, confirmed by ROC analysis </w:t>
      </w:r>
      <w:r w:rsidR="00647802" w:rsidRPr="00A23055">
        <w:rPr>
          <w:rFonts w:asciiTheme="majorBidi" w:hAnsiTheme="majorBidi" w:cstheme="majorBidi"/>
          <w:sz w:val="24"/>
          <w:szCs w:val="24"/>
        </w:rPr>
        <w:t>and revealed to be used as</w:t>
      </w:r>
      <w:r w:rsidRPr="00A23055">
        <w:rPr>
          <w:rFonts w:asciiTheme="majorBidi" w:hAnsiTheme="majorBidi" w:cstheme="majorBidi"/>
          <w:sz w:val="24"/>
          <w:szCs w:val="24"/>
        </w:rPr>
        <w:t xml:space="preserve"> </w:t>
      </w:r>
      <w:r w:rsidR="00647802" w:rsidRPr="00A23055">
        <w:rPr>
          <w:rFonts w:asciiTheme="majorBidi" w:hAnsiTheme="majorBidi" w:cstheme="majorBidi"/>
          <w:sz w:val="24"/>
          <w:szCs w:val="24"/>
        </w:rPr>
        <w:t xml:space="preserve">a </w:t>
      </w:r>
      <w:r w:rsidRPr="00A23055">
        <w:rPr>
          <w:rFonts w:asciiTheme="majorBidi" w:hAnsiTheme="majorBidi" w:cstheme="majorBidi"/>
          <w:sz w:val="24"/>
          <w:szCs w:val="24"/>
        </w:rPr>
        <w:t xml:space="preserve">reliable prognostic </w:t>
      </w:r>
      <w:r w:rsidR="00647802" w:rsidRPr="00A23055">
        <w:rPr>
          <w:rFonts w:asciiTheme="majorBidi" w:hAnsiTheme="majorBidi" w:cstheme="majorBidi"/>
          <w:sz w:val="24"/>
          <w:szCs w:val="24"/>
        </w:rPr>
        <w:t>biomarker</w:t>
      </w:r>
      <w:r w:rsidRPr="00A23055">
        <w:rPr>
          <w:rFonts w:asciiTheme="majorBidi" w:hAnsiTheme="majorBidi" w:cstheme="majorBidi"/>
          <w:sz w:val="24"/>
          <w:szCs w:val="24"/>
        </w:rPr>
        <w:t xml:space="preserve">, were strongly associated with the pathophysiology of autoimmune thyroid conditions. In contrast, IL-10 levels did not significantly differ between </w:t>
      </w:r>
      <w:r w:rsidR="00647802" w:rsidRPr="00A23055">
        <w:rPr>
          <w:rFonts w:asciiTheme="majorBidi" w:hAnsiTheme="majorBidi" w:cstheme="majorBidi"/>
          <w:sz w:val="24"/>
          <w:szCs w:val="24"/>
        </w:rPr>
        <w:t xml:space="preserve">the study </w:t>
      </w:r>
      <w:r w:rsidRPr="00A23055">
        <w:rPr>
          <w:rFonts w:asciiTheme="majorBidi" w:hAnsiTheme="majorBidi" w:cstheme="majorBidi"/>
          <w:sz w:val="24"/>
          <w:szCs w:val="24"/>
        </w:rPr>
        <w:t>groups, suggesting a limited role in the diagnosis and pathophysiology of these disorders</w:t>
      </w:r>
      <w:r w:rsidR="00647802" w:rsidRPr="00A23055">
        <w:rPr>
          <w:rFonts w:asciiTheme="majorBidi" w:hAnsiTheme="majorBidi" w:cstheme="majorBidi"/>
          <w:sz w:val="24"/>
          <w:szCs w:val="24"/>
        </w:rPr>
        <w:t xml:space="preserve"> and may be due to the inflammatory response that interacts with the IL-10 signaling pathway</w:t>
      </w:r>
      <w:r w:rsidRPr="00A23055">
        <w:rPr>
          <w:rFonts w:asciiTheme="majorBidi" w:hAnsiTheme="majorBidi" w:cstheme="majorBidi"/>
          <w:sz w:val="24"/>
          <w:szCs w:val="24"/>
        </w:rPr>
        <w:t xml:space="preserve">. These findings emphasize the importance of anti-TPO antibody </w:t>
      </w:r>
      <w:r w:rsidRPr="00A23055">
        <w:rPr>
          <w:rFonts w:asciiTheme="majorBidi" w:hAnsiTheme="majorBidi" w:cstheme="majorBidi"/>
          <w:sz w:val="24"/>
          <w:szCs w:val="24"/>
        </w:rPr>
        <w:t xml:space="preserve">testing for the early detection of thyroid diseases and improved patient outcomes. Future studies with larger </w:t>
      </w:r>
      <w:r w:rsidR="00647802" w:rsidRPr="00A23055">
        <w:rPr>
          <w:rFonts w:asciiTheme="majorBidi" w:hAnsiTheme="majorBidi" w:cstheme="majorBidi"/>
          <w:sz w:val="24"/>
          <w:szCs w:val="24"/>
        </w:rPr>
        <w:t>sample sizes</w:t>
      </w:r>
      <w:r w:rsidRPr="00A23055">
        <w:rPr>
          <w:rFonts w:asciiTheme="majorBidi" w:hAnsiTheme="majorBidi" w:cstheme="majorBidi"/>
          <w:sz w:val="24"/>
          <w:szCs w:val="24"/>
        </w:rPr>
        <w:t xml:space="preserve"> are recommended to investigate the potential</w:t>
      </w:r>
      <w:r w:rsidR="00647802" w:rsidRPr="00A23055">
        <w:rPr>
          <w:rFonts w:asciiTheme="majorBidi" w:hAnsiTheme="majorBidi" w:cstheme="majorBidi"/>
          <w:sz w:val="24"/>
          <w:szCs w:val="24"/>
        </w:rPr>
        <w:t xml:space="preserve"> role of IL-10</w:t>
      </w:r>
      <w:r w:rsidRPr="00A23055">
        <w:rPr>
          <w:rFonts w:asciiTheme="majorBidi" w:hAnsiTheme="majorBidi" w:cstheme="majorBidi"/>
          <w:sz w:val="24"/>
          <w:szCs w:val="24"/>
        </w:rPr>
        <w:t xml:space="preserve"> </w:t>
      </w:r>
      <w:r w:rsidR="00647802" w:rsidRPr="00A23055">
        <w:rPr>
          <w:rFonts w:asciiTheme="majorBidi" w:hAnsiTheme="majorBidi" w:cstheme="majorBidi"/>
          <w:sz w:val="24"/>
          <w:szCs w:val="24"/>
        </w:rPr>
        <w:t>in</w:t>
      </w:r>
      <w:r w:rsidRPr="00A23055">
        <w:rPr>
          <w:rFonts w:asciiTheme="majorBidi" w:hAnsiTheme="majorBidi" w:cstheme="majorBidi"/>
          <w:sz w:val="24"/>
          <w:szCs w:val="24"/>
        </w:rPr>
        <w:t xml:space="preserve"> refining diagnostic and therapeutic approaches for thyroid disorders.</w:t>
      </w:r>
    </w:p>
    <w:p w14:paraId="553CC33E" w14:textId="6E2ED600" w:rsidR="00D34862" w:rsidRPr="00A23055" w:rsidRDefault="00961453" w:rsidP="00B90075">
      <w:pPr>
        <w:spacing w:after="0" w:line="240" w:lineRule="auto"/>
        <w:jc w:val="both"/>
        <w:rPr>
          <w:rFonts w:asciiTheme="majorBidi" w:hAnsiTheme="majorBidi" w:cstheme="majorBidi"/>
          <w:b/>
          <w:bCs/>
          <w:sz w:val="24"/>
          <w:szCs w:val="24"/>
          <w:lang w:bidi="ar-IQ"/>
        </w:rPr>
      </w:pPr>
      <w:r w:rsidRPr="00A23055">
        <w:rPr>
          <w:rFonts w:asciiTheme="majorBidi" w:hAnsiTheme="majorBidi" w:cstheme="majorBidi"/>
          <w:b/>
          <w:bCs/>
          <w:sz w:val="24"/>
          <w:szCs w:val="24"/>
          <w:lang w:bidi="ar-IQ"/>
        </w:rPr>
        <w:t>Ref</w:t>
      </w:r>
      <w:r w:rsidR="00835624">
        <w:rPr>
          <w:rFonts w:asciiTheme="majorBidi" w:hAnsiTheme="majorBidi" w:cstheme="majorBidi"/>
          <w:b/>
          <w:bCs/>
          <w:sz w:val="24"/>
          <w:szCs w:val="24"/>
          <w:lang w:bidi="ar-IQ"/>
        </w:rPr>
        <w:t>erences</w:t>
      </w:r>
    </w:p>
    <w:p w14:paraId="19AA3149" w14:textId="3A1FAC36" w:rsidR="009E7326" w:rsidRPr="00835624" w:rsidRDefault="009E7326" w:rsidP="00835624">
      <w:pPr>
        <w:pStyle w:val="ListParagraph"/>
        <w:widowControl w:val="0"/>
        <w:numPr>
          <w:ilvl w:val="0"/>
          <w:numId w:val="3"/>
        </w:numPr>
        <w:autoSpaceDE w:val="0"/>
        <w:autoSpaceDN w:val="0"/>
        <w:adjustRightInd w:val="0"/>
        <w:spacing w:after="0" w:line="240" w:lineRule="auto"/>
        <w:ind w:left="426"/>
        <w:jc w:val="both"/>
        <w:rPr>
          <w:rFonts w:asciiTheme="majorBidi" w:hAnsiTheme="majorBidi" w:cstheme="majorBidi"/>
          <w:noProof/>
          <w:sz w:val="20"/>
          <w:szCs w:val="20"/>
        </w:rPr>
      </w:pPr>
      <w:r w:rsidRPr="00A23055">
        <w:rPr>
          <w:rFonts w:asciiTheme="majorBidi" w:hAnsiTheme="majorBidi" w:cstheme="majorBidi"/>
          <w:sz w:val="24"/>
          <w:szCs w:val="24"/>
          <w:rtl/>
          <w:lang w:bidi="ar-IQ"/>
        </w:rPr>
        <w:fldChar w:fldCharType="begin" w:fldLock="1"/>
      </w:r>
      <w:r w:rsidRPr="00835624">
        <w:rPr>
          <w:rFonts w:asciiTheme="majorBidi" w:hAnsiTheme="majorBidi" w:cstheme="majorBidi"/>
          <w:sz w:val="24"/>
          <w:szCs w:val="24"/>
          <w:lang w:bidi="ar-IQ"/>
        </w:rPr>
        <w:instrText>ADDIN Mendeley Bibliography CSL_BIBLIOGRAPHY</w:instrText>
      </w:r>
      <w:r w:rsidRPr="00835624">
        <w:rPr>
          <w:rFonts w:asciiTheme="majorBidi" w:hAnsiTheme="majorBidi" w:cstheme="majorBidi"/>
          <w:sz w:val="24"/>
          <w:szCs w:val="24"/>
          <w:rtl/>
          <w:lang w:bidi="ar-IQ"/>
        </w:rPr>
        <w:instrText xml:space="preserve"> </w:instrText>
      </w:r>
      <w:r w:rsidRPr="00A23055">
        <w:rPr>
          <w:rFonts w:asciiTheme="majorBidi" w:hAnsiTheme="majorBidi" w:cstheme="majorBidi"/>
          <w:sz w:val="24"/>
          <w:szCs w:val="24"/>
          <w:rtl/>
          <w:lang w:bidi="ar-IQ"/>
        </w:rPr>
        <w:fldChar w:fldCharType="separate"/>
      </w:r>
      <w:r w:rsidRPr="00835624">
        <w:rPr>
          <w:rFonts w:asciiTheme="majorBidi" w:hAnsiTheme="majorBidi" w:cstheme="majorBidi"/>
          <w:noProof/>
          <w:sz w:val="20"/>
          <w:szCs w:val="20"/>
        </w:rPr>
        <w:t>Walling, B. E</w:t>
      </w:r>
      <w:r w:rsidR="000B24AB">
        <w:rPr>
          <w:rFonts w:asciiTheme="majorBidi" w:hAnsiTheme="majorBidi" w:cstheme="majorBidi"/>
          <w:noProof/>
          <w:sz w:val="20"/>
          <w:szCs w:val="20"/>
        </w:rPr>
        <w:t>. and</w:t>
      </w:r>
      <w:r w:rsidRPr="00835624">
        <w:rPr>
          <w:rFonts w:asciiTheme="majorBidi" w:hAnsiTheme="majorBidi" w:cstheme="majorBidi"/>
          <w:noProof/>
          <w:sz w:val="20"/>
          <w:szCs w:val="20"/>
        </w:rPr>
        <w:t xml:space="preserve"> Rosol, T. J. (2019). Pathology of the endocrine system. </w:t>
      </w:r>
      <w:r w:rsidRPr="00835624">
        <w:rPr>
          <w:rFonts w:asciiTheme="majorBidi" w:hAnsiTheme="majorBidi" w:cstheme="majorBidi"/>
          <w:i/>
          <w:iCs/>
          <w:noProof/>
          <w:sz w:val="20"/>
          <w:szCs w:val="20"/>
        </w:rPr>
        <w:t>Toxicologic Pathology for Non-Pathologists</w:t>
      </w:r>
      <w:r w:rsidRPr="00835624">
        <w:rPr>
          <w:rFonts w:asciiTheme="majorBidi" w:hAnsiTheme="majorBidi" w:cstheme="majorBidi"/>
          <w:noProof/>
          <w:sz w:val="20"/>
          <w:szCs w:val="20"/>
        </w:rPr>
        <w:t>, 537–569.</w:t>
      </w:r>
    </w:p>
    <w:p w14:paraId="31318AB2" w14:textId="6BCF6E13" w:rsidR="009E7326" w:rsidRPr="00835624" w:rsidRDefault="009E7326" w:rsidP="005B55C2">
      <w:pPr>
        <w:pStyle w:val="ListParagraph"/>
        <w:widowControl w:val="0"/>
        <w:numPr>
          <w:ilvl w:val="0"/>
          <w:numId w:val="3"/>
        </w:numPr>
        <w:autoSpaceDE w:val="0"/>
        <w:autoSpaceDN w:val="0"/>
        <w:adjustRightInd w:val="0"/>
        <w:spacing w:after="0" w:line="240" w:lineRule="auto"/>
        <w:ind w:left="426"/>
        <w:jc w:val="both"/>
        <w:rPr>
          <w:rFonts w:asciiTheme="majorBidi" w:hAnsiTheme="majorBidi" w:cstheme="majorBidi"/>
          <w:noProof/>
          <w:sz w:val="20"/>
          <w:szCs w:val="20"/>
        </w:rPr>
      </w:pPr>
      <w:r w:rsidRPr="00835624">
        <w:rPr>
          <w:rFonts w:asciiTheme="majorBidi" w:hAnsiTheme="majorBidi" w:cstheme="majorBidi"/>
          <w:noProof/>
          <w:sz w:val="20"/>
          <w:szCs w:val="20"/>
        </w:rPr>
        <w:t>Chiamolera, M. I</w:t>
      </w:r>
      <w:r w:rsidR="000B24AB">
        <w:rPr>
          <w:rFonts w:asciiTheme="majorBidi" w:hAnsiTheme="majorBidi" w:cstheme="majorBidi"/>
          <w:noProof/>
          <w:sz w:val="20"/>
          <w:szCs w:val="20"/>
        </w:rPr>
        <w:t>. and</w:t>
      </w:r>
      <w:r w:rsidRPr="00835624">
        <w:rPr>
          <w:rFonts w:asciiTheme="majorBidi" w:hAnsiTheme="majorBidi" w:cstheme="majorBidi"/>
          <w:noProof/>
          <w:sz w:val="20"/>
          <w:szCs w:val="20"/>
        </w:rPr>
        <w:t xml:space="preserve"> Wondisford, F. E. (2009). Thyrotropin-Releasing Hormone and the Thyroid Hormone Feedback Mechanism. </w:t>
      </w:r>
      <w:r w:rsidRPr="00835624">
        <w:rPr>
          <w:rFonts w:asciiTheme="majorBidi" w:hAnsiTheme="majorBidi" w:cstheme="majorBidi"/>
          <w:i/>
          <w:iCs/>
          <w:noProof/>
          <w:sz w:val="20"/>
          <w:szCs w:val="20"/>
        </w:rPr>
        <w:t>Endocrinology</w:t>
      </w:r>
      <w:r w:rsidRPr="00835624">
        <w:rPr>
          <w:rFonts w:asciiTheme="majorBidi" w:hAnsiTheme="majorBidi" w:cstheme="majorBidi"/>
          <w:noProof/>
          <w:sz w:val="20"/>
          <w:szCs w:val="20"/>
        </w:rPr>
        <w:t xml:space="preserve">, </w:t>
      </w:r>
      <w:r w:rsidRPr="00835624">
        <w:rPr>
          <w:rFonts w:asciiTheme="majorBidi" w:hAnsiTheme="majorBidi" w:cstheme="majorBidi"/>
          <w:i/>
          <w:iCs/>
          <w:noProof/>
          <w:sz w:val="20"/>
          <w:szCs w:val="20"/>
        </w:rPr>
        <w:t>150</w:t>
      </w:r>
      <w:r w:rsidRPr="00835624">
        <w:rPr>
          <w:rFonts w:asciiTheme="majorBidi" w:hAnsiTheme="majorBidi" w:cstheme="majorBidi"/>
          <w:noProof/>
          <w:sz w:val="20"/>
          <w:szCs w:val="20"/>
        </w:rPr>
        <w:t xml:space="preserve">(3), 1091–1096. </w:t>
      </w:r>
    </w:p>
    <w:p w14:paraId="54A2ABF3" w14:textId="04CAC594" w:rsidR="009E7326" w:rsidRPr="00835624" w:rsidRDefault="009E7326" w:rsidP="00835624">
      <w:pPr>
        <w:pStyle w:val="ListParagraph"/>
        <w:widowControl w:val="0"/>
        <w:numPr>
          <w:ilvl w:val="0"/>
          <w:numId w:val="3"/>
        </w:numPr>
        <w:autoSpaceDE w:val="0"/>
        <w:autoSpaceDN w:val="0"/>
        <w:adjustRightInd w:val="0"/>
        <w:spacing w:after="0" w:line="240" w:lineRule="auto"/>
        <w:ind w:left="426"/>
        <w:jc w:val="both"/>
        <w:rPr>
          <w:rFonts w:asciiTheme="majorBidi" w:hAnsiTheme="majorBidi" w:cstheme="majorBidi"/>
          <w:noProof/>
          <w:sz w:val="20"/>
          <w:szCs w:val="20"/>
        </w:rPr>
      </w:pPr>
      <w:r w:rsidRPr="00835624">
        <w:rPr>
          <w:rFonts w:asciiTheme="majorBidi" w:hAnsiTheme="majorBidi" w:cstheme="majorBidi"/>
          <w:noProof/>
          <w:sz w:val="20"/>
          <w:szCs w:val="20"/>
        </w:rPr>
        <w:t>Pande, A</w:t>
      </w:r>
      <w:r w:rsidR="000B24AB">
        <w:rPr>
          <w:rFonts w:asciiTheme="majorBidi" w:hAnsiTheme="majorBidi" w:cstheme="majorBidi"/>
          <w:noProof/>
          <w:sz w:val="20"/>
          <w:szCs w:val="20"/>
        </w:rPr>
        <w:t>. and</w:t>
      </w:r>
      <w:r w:rsidRPr="00835624">
        <w:rPr>
          <w:rFonts w:asciiTheme="majorBidi" w:hAnsiTheme="majorBidi" w:cstheme="majorBidi"/>
          <w:noProof/>
          <w:sz w:val="20"/>
          <w:szCs w:val="20"/>
        </w:rPr>
        <w:t xml:space="preserve"> Anjankar, A. (2023). A narrative review on the effect of maternal hypothyroidism on fetal development. </w:t>
      </w:r>
      <w:r w:rsidRPr="00835624">
        <w:rPr>
          <w:rFonts w:asciiTheme="majorBidi" w:hAnsiTheme="majorBidi" w:cstheme="majorBidi"/>
          <w:i/>
          <w:iCs/>
          <w:noProof/>
          <w:sz w:val="20"/>
          <w:szCs w:val="20"/>
        </w:rPr>
        <w:t>Cureus</w:t>
      </w:r>
      <w:r w:rsidRPr="00835624">
        <w:rPr>
          <w:rFonts w:asciiTheme="majorBidi" w:hAnsiTheme="majorBidi" w:cstheme="majorBidi"/>
          <w:noProof/>
          <w:sz w:val="20"/>
          <w:szCs w:val="20"/>
        </w:rPr>
        <w:t xml:space="preserve">, </w:t>
      </w:r>
      <w:r w:rsidRPr="00835624">
        <w:rPr>
          <w:rFonts w:asciiTheme="majorBidi" w:hAnsiTheme="majorBidi" w:cstheme="majorBidi"/>
          <w:i/>
          <w:iCs/>
          <w:noProof/>
          <w:sz w:val="20"/>
          <w:szCs w:val="20"/>
        </w:rPr>
        <w:t>15</w:t>
      </w:r>
      <w:r w:rsidRPr="00835624">
        <w:rPr>
          <w:rFonts w:asciiTheme="majorBidi" w:hAnsiTheme="majorBidi" w:cstheme="majorBidi"/>
          <w:noProof/>
          <w:sz w:val="20"/>
          <w:szCs w:val="20"/>
        </w:rPr>
        <w:t>(2).</w:t>
      </w:r>
    </w:p>
    <w:p w14:paraId="7FAB6895" w14:textId="6E8879C3" w:rsidR="009E7326" w:rsidRPr="00835624" w:rsidRDefault="009E7326" w:rsidP="005B55C2">
      <w:pPr>
        <w:pStyle w:val="ListParagraph"/>
        <w:widowControl w:val="0"/>
        <w:numPr>
          <w:ilvl w:val="0"/>
          <w:numId w:val="3"/>
        </w:numPr>
        <w:autoSpaceDE w:val="0"/>
        <w:autoSpaceDN w:val="0"/>
        <w:adjustRightInd w:val="0"/>
        <w:spacing w:after="0" w:line="240" w:lineRule="auto"/>
        <w:ind w:left="426"/>
        <w:jc w:val="both"/>
        <w:rPr>
          <w:rFonts w:asciiTheme="majorBidi" w:hAnsiTheme="majorBidi" w:cstheme="majorBidi"/>
          <w:noProof/>
          <w:sz w:val="20"/>
          <w:szCs w:val="20"/>
        </w:rPr>
      </w:pPr>
      <w:r w:rsidRPr="00835624">
        <w:rPr>
          <w:rFonts w:asciiTheme="majorBidi" w:hAnsiTheme="majorBidi" w:cstheme="majorBidi"/>
          <w:noProof/>
          <w:sz w:val="20"/>
          <w:szCs w:val="20"/>
        </w:rPr>
        <w:t>Kaabia, O</w:t>
      </w:r>
      <w:r w:rsidR="000B24AB">
        <w:rPr>
          <w:rFonts w:asciiTheme="majorBidi" w:hAnsiTheme="majorBidi" w:cstheme="majorBidi"/>
          <w:noProof/>
          <w:sz w:val="20"/>
          <w:szCs w:val="20"/>
        </w:rPr>
        <w:t>.;</w:t>
      </w:r>
      <w:r w:rsidRPr="00835624">
        <w:rPr>
          <w:rFonts w:asciiTheme="majorBidi" w:hAnsiTheme="majorBidi" w:cstheme="majorBidi"/>
          <w:noProof/>
          <w:sz w:val="20"/>
          <w:szCs w:val="20"/>
        </w:rPr>
        <w:t xml:space="preserve"> Gharbi, I</w:t>
      </w:r>
      <w:r w:rsidR="000B24AB">
        <w:rPr>
          <w:rFonts w:asciiTheme="majorBidi" w:hAnsiTheme="majorBidi" w:cstheme="majorBidi"/>
          <w:noProof/>
          <w:sz w:val="20"/>
          <w:szCs w:val="20"/>
        </w:rPr>
        <w:t>.;</w:t>
      </w:r>
      <w:r w:rsidRPr="00835624">
        <w:rPr>
          <w:rFonts w:asciiTheme="majorBidi" w:hAnsiTheme="majorBidi" w:cstheme="majorBidi"/>
          <w:noProof/>
          <w:sz w:val="20"/>
          <w:szCs w:val="20"/>
        </w:rPr>
        <w:t xml:space="preserve"> Smaali, H</w:t>
      </w:r>
      <w:r w:rsidR="000B24AB">
        <w:rPr>
          <w:rFonts w:asciiTheme="majorBidi" w:hAnsiTheme="majorBidi" w:cstheme="majorBidi"/>
          <w:noProof/>
          <w:sz w:val="20"/>
          <w:szCs w:val="20"/>
        </w:rPr>
        <w:t>.;</w:t>
      </w:r>
      <w:r w:rsidRPr="00835624">
        <w:rPr>
          <w:rFonts w:asciiTheme="majorBidi" w:hAnsiTheme="majorBidi" w:cstheme="majorBidi"/>
          <w:noProof/>
          <w:sz w:val="20"/>
          <w:szCs w:val="20"/>
        </w:rPr>
        <w:t xml:space="preserve"> Guefrech, O</w:t>
      </w:r>
      <w:r w:rsidR="000B24AB">
        <w:rPr>
          <w:rFonts w:asciiTheme="majorBidi" w:hAnsiTheme="majorBidi" w:cstheme="majorBidi"/>
          <w:noProof/>
          <w:sz w:val="20"/>
          <w:szCs w:val="20"/>
        </w:rPr>
        <w:t>. and</w:t>
      </w:r>
      <w:r w:rsidRPr="00835624">
        <w:rPr>
          <w:rFonts w:asciiTheme="majorBidi" w:hAnsiTheme="majorBidi" w:cstheme="majorBidi"/>
          <w:noProof/>
          <w:sz w:val="20"/>
          <w:szCs w:val="20"/>
        </w:rPr>
        <w:t xml:space="preserve"> Maya Bahri, Y. (2024). (047) </w:t>
      </w:r>
      <w:r w:rsidR="005B55C2" w:rsidRPr="00835624">
        <w:rPr>
          <w:rFonts w:asciiTheme="majorBidi" w:hAnsiTheme="majorBidi" w:cstheme="majorBidi"/>
          <w:noProof/>
          <w:sz w:val="20"/>
          <w:szCs w:val="20"/>
        </w:rPr>
        <w:t xml:space="preserve">Sexual Health Among Women </w:t>
      </w:r>
      <w:r w:rsidR="005B55C2">
        <w:rPr>
          <w:rFonts w:asciiTheme="majorBidi" w:hAnsiTheme="majorBidi" w:cstheme="majorBidi"/>
          <w:noProof/>
          <w:sz w:val="20"/>
          <w:szCs w:val="20"/>
        </w:rPr>
        <w:t>w</w:t>
      </w:r>
      <w:r w:rsidR="005B55C2" w:rsidRPr="00835624">
        <w:rPr>
          <w:rFonts w:asciiTheme="majorBidi" w:hAnsiTheme="majorBidi" w:cstheme="majorBidi"/>
          <w:noProof/>
          <w:sz w:val="20"/>
          <w:szCs w:val="20"/>
        </w:rPr>
        <w:t>ith Thyroid Disorders</w:t>
      </w:r>
      <w:r w:rsidRPr="00835624">
        <w:rPr>
          <w:rFonts w:asciiTheme="majorBidi" w:hAnsiTheme="majorBidi" w:cstheme="majorBidi"/>
          <w:noProof/>
          <w:sz w:val="20"/>
          <w:szCs w:val="20"/>
        </w:rPr>
        <w:t xml:space="preserve">. </w:t>
      </w:r>
      <w:r w:rsidRPr="00835624">
        <w:rPr>
          <w:rFonts w:asciiTheme="majorBidi" w:hAnsiTheme="majorBidi" w:cstheme="majorBidi"/>
          <w:i/>
          <w:iCs/>
          <w:noProof/>
          <w:sz w:val="20"/>
          <w:szCs w:val="20"/>
        </w:rPr>
        <w:t>The Journal of Sexual Medicine</w:t>
      </w:r>
      <w:r w:rsidRPr="00835624">
        <w:rPr>
          <w:rFonts w:asciiTheme="majorBidi" w:hAnsiTheme="majorBidi" w:cstheme="majorBidi"/>
          <w:noProof/>
          <w:sz w:val="20"/>
          <w:szCs w:val="20"/>
        </w:rPr>
        <w:t xml:space="preserve">, </w:t>
      </w:r>
      <w:r w:rsidRPr="00835624">
        <w:rPr>
          <w:rFonts w:asciiTheme="majorBidi" w:hAnsiTheme="majorBidi" w:cstheme="majorBidi"/>
          <w:i/>
          <w:iCs/>
          <w:noProof/>
          <w:sz w:val="20"/>
          <w:szCs w:val="20"/>
        </w:rPr>
        <w:t>21</w:t>
      </w:r>
      <w:r w:rsidRPr="00835624">
        <w:rPr>
          <w:rFonts w:asciiTheme="majorBidi" w:hAnsiTheme="majorBidi" w:cstheme="majorBidi"/>
          <w:noProof/>
          <w:sz w:val="20"/>
          <w:szCs w:val="20"/>
        </w:rPr>
        <w:t>(Supplement_6), qdae161-036.</w:t>
      </w:r>
    </w:p>
    <w:p w14:paraId="6DD81E21" w14:textId="025F4A96" w:rsidR="009E7326" w:rsidRPr="00835624" w:rsidRDefault="009E7326" w:rsidP="000B24AB">
      <w:pPr>
        <w:pStyle w:val="ListParagraph"/>
        <w:widowControl w:val="0"/>
        <w:numPr>
          <w:ilvl w:val="0"/>
          <w:numId w:val="3"/>
        </w:numPr>
        <w:autoSpaceDE w:val="0"/>
        <w:autoSpaceDN w:val="0"/>
        <w:adjustRightInd w:val="0"/>
        <w:spacing w:after="0" w:line="240" w:lineRule="auto"/>
        <w:ind w:left="426"/>
        <w:jc w:val="both"/>
        <w:rPr>
          <w:rFonts w:asciiTheme="majorBidi" w:hAnsiTheme="majorBidi" w:cstheme="majorBidi"/>
          <w:noProof/>
          <w:sz w:val="20"/>
          <w:szCs w:val="20"/>
        </w:rPr>
      </w:pPr>
      <w:r w:rsidRPr="00835624">
        <w:rPr>
          <w:rFonts w:asciiTheme="majorBidi" w:hAnsiTheme="majorBidi" w:cstheme="majorBidi"/>
          <w:noProof/>
          <w:sz w:val="20"/>
          <w:szCs w:val="20"/>
        </w:rPr>
        <w:t>Yazdanpanahi, P</w:t>
      </w:r>
      <w:r w:rsidR="000B24AB">
        <w:rPr>
          <w:rFonts w:asciiTheme="majorBidi" w:hAnsiTheme="majorBidi" w:cstheme="majorBidi"/>
          <w:noProof/>
          <w:sz w:val="20"/>
          <w:szCs w:val="20"/>
        </w:rPr>
        <w:t>.;</w:t>
      </w:r>
      <w:r w:rsidRPr="00835624">
        <w:rPr>
          <w:rFonts w:asciiTheme="majorBidi" w:hAnsiTheme="majorBidi" w:cstheme="majorBidi"/>
          <w:noProof/>
          <w:sz w:val="20"/>
          <w:szCs w:val="20"/>
        </w:rPr>
        <w:t xml:space="preserve"> Atighi, F</w:t>
      </w:r>
      <w:r w:rsidR="000B24AB">
        <w:rPr>
          <w:rFonts w:asciiTheme="majorBidi" w:hAnsiTheme="majorBidi" w:cstheme="majorBidi"/>
          <w:noProof/>
          <w:sz w:val="20"/>
          <w:szCs w:val="20"/>
        </w:rPr>
        <w:t>.;</w:t>
      </w:r>
      <w:r w:rsidRPr="00835624">
        <w:rPr>
          <w:rFonts w:asciiTheme="majorBidi" w:hAnsiTheme="majorBidi" w:cstheme="majorBidi"/>
          <w:noProof/>
          <w:sz w:val="20"/>
          <w:szCs w:val="20"/>
        </w:rPr>
        <w:t xml:space="preserve"> Keshtkar, A</w:t>
      </w:r>
      <w:r w:rsidR="000B24AB">
        <w:rPr>
          <w:rFonts w:asciiTheme="majorBidi" w:hAnsiTheme="majorBidi" w:cstheme="majorBidi"/>
          <w:noProof/>
          <w:sz w:val="20"/>
          <w:szCs w:val="20"/>
        </w:rPr>
        <w:t>.;</w:t>
      </w:r>
      <w:r w:rsidRPr="00835624">
        <w:rPr>
          <w:rFonts w:asciiTheme="majorBidi" w:hAnsiTheme="majorBidi" w:cstheme="majorBidi"/>
          <w:noProof/>
          <w:sz w:val="20"/>
          <w:szCs w:val="20"/>
        </w:rPr>
        <w:t xml:space="preserve"> Hamidi, R</w:t>
      </w:r>
      <w:r w:rsidR="000B24AB">
        <w:rPr>
          <w:rFonts w:asciiTheme="majorBidi" w:hAnsiTheme="majorBidi" w:cstheme="majorBidi"/>
          <w:noProof/>
          <w:sz w:val="20"/>
          <w:szCs w:val="20"/>
        </w:rPr>
        <w:t>.;</w:t>
      </w:r>
      <w:r w:rsidRPr="00835624">
        <w:rPr>
          <w:rFonts w:asciiTheme="majorBidi" w:hAnsiTheme="majorBidi" w:cstheme="majorBidi"/>
          <w:noProof/>
          <w:sz w:val="20"/>
          <w:szCs w:val="20"/>
        </w:rPr>
        <w:t xml:space="preserve"> Rezaeimanesh, M</w:t>
      </w:r>
      <w:r w:rsidR="000B24AB">
        <w:rPr>
          <w:rFonts w:asciiTheme="majorBidi" w:hAnsiTheme="majorBidi" w:cstheme="majorBidi"/>
          <w:noProof/>
          <w:sz w:val="20"/>
          <w:szCs w:val="20"/>
        </w:rPr>
        <w:t>.;</w:t>
      </w:r>
      <w:r w:rsidRPr="00835624">
        <w:rPr>
          <w:rFonts w:asciiTheme="majorBidi" w:hAnsiTheme="majorBidi" w:cstheme="majorBidi"/>
          <w:noProof/>
          <w:sz w:val="20"/>
          <w:szCs w:val="20"/>
        </w:rPr>
        <w:t xml:space="preserve"> Karimi, A</w:t>
      </w:r>
      <w:r w:rsidR="000B24AB">
        <w:rPr>
          <w:rFonts w:asciiTheme="majorBidi" w:hAnsiTheme="majorBidi" w:cstheme="majorBidi"/>
          <w:noProof/>
          <w:sz w:val="20"/>
          <w:szCs w:val="20"/>
        </w:rPr>
        <w:t xml:space="preserve">., </w:t>
      </w:r>
      <w:r w:rsidR="000B24AB">
        <w:rPr>
          <w:rFonts w:asciiTheme="majorBidi" w:hAnsiTheme="majorBidi" w:cstheme="majorBidi"/>
          <w:i/>
          <w:iCs/>
          <w:noProof/>
          <w:sz w:val="20"/>
          <w:szCs w:val="20"/>
        </w:rPr>
        <w:t>et al</w:t>
      </w:r>
      <w:r w:rsidRPr="00835624">
        <w:rPr>
          <w:rFonts w:asciiTheme="majorBidi" w:hAnsiTheme="majorBidi" w:cstheme="majorBidi"/>
          <w:noProof/>
          <w:sz w:val="20"/>
          <w:szCs w:val="20"/>
        </w:rPr>
        <w:t xml:space="preserve">. (2024). The Current Progress of Artificial Intelligence in Approach to Thyroid Nodules: A Narrative Review. </w:t>
      </w:r>
      <w:r w:rsidRPr="00835624">
        <w:rPr>
          <w:rFonts w:asciiTheme="majorBidi" w:hAnsiTheme="majorBidi" w:cstheme="majorBidi"/>
          <w:i/>
          <w:iCs/>
          <w:noProof/>
          <w:sz w:val="20"/>
          <w:szCs w:val="20"/>
        </w:rPr>
        <w:t>Shiraz E-Med J.</w:t>
      </w:r>
      <w:r w:rsidRPr="00835624">
        <w:rPr>
          <w:rFonts w:asciiTheme="majorBidi" w:hAnsiTheme="majorBidi" w:cstheme="majorBidi"/>
          <w:noProof/>
          <w:sz w:val="20"/>
          <w:szCs w:val="20"/>
        </w:rPr>
        <w:t xml:space="preserve">, </w:t>
      </w:r>
      <w:r w:rsidRPr="00835624">
        <w:rPr>
          <w:rFonts w:asciiTheme="majorBidi" w:hAnsiTheme="majorBidi" w:cstheme="majorBidi"/>
          <w:i/>
          <w:iCs/>
          <w:noProof/>
          <w:sz w:val="20"/>
          <w:szCs w:val="20"/>
        </w:rPr>
        <w:t>25</w:t>
      </w:r>
      <w:r w:rsidRPr="00835624">
        <w:rPr>
          <w:rFonts w:asciiTheme="majorBidi" w:hAnsiTheme="majorBidi" w:cstheme="majorBidi"/>
          <w:noProof/>
          <w:sz w:val="20"/>
          <w:szCs w:val="20"/>
        </w:rPr>
        <w:t>(11).</w:t>
      </w:r>
    </w:p>
    <w:p w14:paraId="1708B786" w14:textId="104C7F4E" w:rsidR="009E7326" w:rsidRPr="00835624" w:rsidRDefault="009E7326" w:rsidP="00835624">
      <w:pPr>
        <w:pStyle w:val="ListParagraph"/>
        <w:widowControl w:val="0"/>
        <w:numPr>
          <w:ilvl w:val="0"/>
          <w:numId w:val="3"/>
        </w:numPr>
        <w:autoSpaceDE w:val="0"/>
        <w:autoSpaceDN w:val="0"/>
        <w:adjustRightInd w:val="0"/>
        <w:spacing w:after="0" w:line="240" w:lineRule="auto"/>
        <w:ind w:left="426"/>
        <w:jc w:val="both"/>
        <w:rPr>
          <w:rFonts w:asciiTheme="majorBidi" w:hAnsiTheme="majorBidi" w:cstheme="majorBidi"/>
          <w:noProof/>
          <w:sz w:val="20"/>
          <w:szCs w:val="20"/>
        </w:rPr>
      </w:pPr>
      <w:r w:rsidRPr="00835624">
        <w:rPr>
          <w:rFonts w:asciiTheme="majorBidi" w:hAnsiTheme="majorBidi" w:cstheme="majorBidi"/>
          <w:noProof/>
          <w:sz w:val="20"/>
          <w:szCs w:val="20"/>
        </w:rPr>
        <w:t>Mousa, H</w:t>
      </w:r>
      <w:r w:rsidR="000B24AB">
        <w:rPr>
          <w:rFonts w:asciiTheme="majorBidi" w:hAnsiTheme="majorBidi" w:cstheme="majorBidi"/>
          <w:noProof/>
          <w:sz w:val="20"/>
          <w:szCs w:val="20"/>
        </w:rPr>
        <w:t>. and</w:t>
      </w:r>
      <w:r w:rsidRPr="00835624">
        <w:rPr>
          <w:rFonts w:asciiTheme="majorBidi" w:hAnsiTheme="majorBidi" w:cstheme="majorBidi"/>
          <w:noProof/>
          <w:sz w:val="20"/>
          <w:szCs w:val="20"/>
        </w:rPr>
        <w:t xml:space="preserve"> Zoori, A. (2023). Prevalence of Thyroid disorders in Nasiriya City, Iraq. </w:t>
      </w:r>
      <w:r w:rsidRPr="00835624">
        <w:rPr>
          <w:rFonts w:asciiTheme="majorBidi" w:hAnsiTheme="majorBidi" w:cstheme="majorBidi"/>
          <w:i/>
          <w:iCs/>
          <w:noProof/>
          <w:sz w:val="20"/>
          <w:szCs w:val="20"/>
        </w:rPr>
        <w:t>University of Thi-Qar Journal of Science</w:t>
      </w:r>
      <w:r w:rsidRPr="00835624">
        <w:rPr>
          <w:rFonts w:asciiTheme="majorBidi" w:hAnsiTheme="majorBidi" w:cstheme="majorBidi"/>
          <w:noProof/>
          <w:sz w:val="20"/>
          <w:szCs w:val="20"/>
        </w:rPr>
        <w:t xml:space="preserve">, </w:t>
      </w:r>
      <w:r w:rsidRPr="00835624">
        <w:rPr>
          <w:rFonts w:asciiTheme="majorBidi" w:hAnsiTheme="majorBidi" w:cstheme="majorBidi"/>
          <w:i/>
          <w:iCs/>
          <w:noProof/>
          <w:sz w:val="20"/>
          <w:szCs w:val="20"/>
        </w:rPr>
        <w:t>10</w:t>
      </w:r>
      <w:r w:rsidRPr="00835624">
        <w:rPr>
          <w:rFonts w:asciiTheme="majorBidi" w:hAnsiTheme="majorBidi" w:cstheme="majorBidi"/>
          <w:noProof/>
          <w:sz w:val="20"/>
          <w:szCs w:val="20"/>
        </w:rPr>
        <w:t>(1), 122–127.</w:t>
      </w:r>
    </w:p>
    <w:p w14:paraId="447559EF" w14:textId="302394CA" w:rsidR="009E7326" w:rsidRPr="00835624" w:rsidRDefault="009E7326" w:rsidP="00835624">
      <w:pPr>
        <w:pStyle w:val="ListParagraph"/>
        <w:widowControl w:val="0"/>
        <w:numPr>
          <w:ilvl w:val="0"/>
          <w:numId w:val="3"/>
        </w:numPr>
        <w:autoSpaceDE w:val="0"/>
        <w:autoSpaceDN w:val="0"/>
        <w:adjustRightInd w:val="0"/>
        <w:spacing w:after="0" w:line="240" w:lineRule="auto"/>
        <w:ind w:left="426"/>
        <w:jc w:val="both"/>
        <w:rPr>
          <w:rFonts w:asciiTheme="majorBidi" w:hAnsiTheme="majorBidi" w:cstheme="majorBidi"/>
          <w:noProof/>
          <w:sz w:val="20"/>
          <w:szCs w:val="20"/>
        </w:rPr>
      </w:pPr>
      <w:r w:rsidRPr="00835624">
        <w:rPr>
          <w:rFonts w:asciiTheme="majorBidi" w:hAnsiTheme="majorBidi" w:cstheme="majorBidi"/>
          <w:noProof/>
          <w:sz w:val="20"/>
          <w:szCs w:val="20"/>
        </w:rPr>
        <w:t>Rashad, N. M</w:t>
      </w:r>
      <w:r w:rsidR="000B24AB">
        <w:rPr>
          <w:rFonts w:asciiTheme="majorBidi" w:hAnsiTheme="majorBidi" w:cstheme="majorBidi"/>
          <w:noProof/>
          <w:sz w:val="20"/>
          <w:szCs w:val="20"/>
        </w:rPr>
        <w:t>. and</w:t>
      </w:r>
      <w:r w:rsidRPr="00835624">
        <w:rPr>
          <w:rFonts w:asciiTheme="majorBidi" w:hAnsiTheme="majorBidi" w:cstheme="majorBidi"/>
          <w:noProof/>
          <w:sz w:val="20"/>
          <w:szCs w:val="20"/>
        </w:rPr>
        <w:t xml:space="preserve"> Samir, G. M. (2019). Prevalence, risks, and comorbidity of thyroid dysfunction: a cross-sectional epidemiological study. </w:t>
      </w:r>
      <w:r w:rsidRPr="00835624">
        <w:rPr>
          <w:rFonts w:asciiTheme="majorBidi" w:hAnsiTheme="majorBidi" w:cstheme="majorBidi"/>
          <w:i/>
          <w:iCs/>
          <w:noProof/>
          <w:sz w:val="20"/>
          <w:szCs w:val="20"/>
        </w:rPr>
        <w:t>The Egyptian Journal of Internal Medicine</w:t>
      </w:r>
      <w:r w:rsidRPr="00835624">
        <w:rPr>
          <w:rFonts w:asciiTheme="majorBidi" w:hAnsiTheme="majorBidi" w:cstheme="majorBidi"/>
          <w:noProof/>
          <w:sz w:val="20"/>
          <w:szCs w:val="20"/>
        </w:rPr>
        <w:t xml:space="preserve">, </w:t>
      </w:r>
      <w:r w:rsidRPr="00835624">
        <w:rPr>
          <w:rFonts w:asciiTheme="majorBidi" w:hAnsiTheme="majorBidi" w:cstheme="majorBidi"/>
          <w:i/>
          <w:iCs/>
          <w:noProof/>
          <w:sz w:val="20"/>
          <w:szCs w:val="20"/>
        </w:rPr>
        <w:t>31</w:t>
      </w:r>
      <w:r w:rsidRPr="00835624">
        <w:rPr>
          <w:rFonts w:asciiTheme="majorBidi" w:hAnsiTheme="majorBidi" w:cstheme="majorBidi"/>
          <w:noProof/>
          <w:sz w:val="20"/>
          <w:szCs w:val="20"/>
        </w:rPr>
        <w:t>, 635–641.</w:t>
      </w:r>
    </w:p>
    <w:p w14:paraId="6507FFE3" w14:textId="369051EA" w:rsidR="009E7326" w:rsidRPr="00835624" w:rsidRDefault="009E7326" w:rsidP="00A00296">
      <w:pPr>
        <w:pStyle w:val="ListParagraph"/>
        <w:widowControl w:val="0"/>
        <w:numPr>
          <w:ilvl w:val="0"/>
          <w:numId w:val="3"/>
        </w:numPr>
        <w:autoSpaceDE w:val="0"/>
        <w:autoSpaceDN w:val="0"/>
        <w:adjustRightInd w:val="0"/>
        <w:spacing w:after="0" w:line="240" w:lineRule="auto"/>
        <w:ind w:left="426"/>
        <w:jc w:val="both"/>
        <w:rPr>
          <w:rFonts w:asciiTheme="majorBidi" w:hAnsiTheme="majorBidi" w:cstheme="majorBidi"/>
          <w:noProof/>
          <w:sz w:val="20"/>
          <w:szCs w:val="20"/>
        </w:rPr>
      </w:pPr>
      <w:r w:rsidRPr="00835624">
        <w:rPr>
          <w:rFonts w:asciiTheme="majorBidi" w:hAnsiTheme="majorBidi" w:cstheme="majorBidi"/>
          <w:noProof/>
          <w:sz w:val="20"/>
          <w:szCs w:val="20"/>
        </w:rPr>
        <w:t>Ludgate, M. E</w:t>
      </w:r>
      <w:r w:rsidR="009665AA">
        <w:rPr>
          <w:rFonts w:asciiTheme="majorBidi" w:hAnsiTheme="majorBidi" w:cstheme="majorBidi"/>
          <w:noProof/>
          <w:sz w:val="20"/>
          <w:szCs w:val="20"/>
        </w:rPr>
        <w:t>.;</w:t>
      </w:r>
      <w:r w:rsidRPr="00835624">
        <w:rPr>
          <w:rFonts w:asciiTheme="majorBidi" w:hAnsiTheme="majorBidi" w:cstheme="majorBidi"/>
          <w:noProof/>
          <w:sz w:val="20"/>
          <w:szCs w:val="20"/>
        </w:rPr>
        <w:t xml:space="preserve"> Masetti, G</w:t>
      </w:r>
      <w:r w:rsidR="000B24AB">
        <w:rPr>
          <w:rFonts w:asciiTheme="majorBidi" w:hAnsiTheme="majorBidi" w:cstheme="majorBidi"/>
          <w:noProof/>
          <w:sz w:val="20"/>
          <w:szCs w:val="20"/>
        </w:rPr>
        <w:t>. and</w:t>
      </w:r>
      <w:r w:rsidRPr="00835624">
        <w:rPr>
          <w:rFonts w:asciiTheme="majorBidi" w:hAnsiTheme="majorBidi" w:cstheme="majorBidi"/>
          <w:noProof/>
          <w:sz w:val="20"/>
          <w:szCs w:val="20"/>
        </w:rPr>
        <w:t xml:space="preserve"> Soares, P. (2024). The relationship between the gut microbiota and thyroid disorders. </w:t>
      </w:r>
      <w:r w:rsidRPr="00835624">
        <w:rPr>
          <w:rFonts w:asciiTheme="majorBidi" w:hAnsiTheme="majorBidi" w:cstheme="majorBidi"/>
          <w:i/>
          <w:iCs/>
          <w:noProof/>
          <w:sz w:val="20"/>
          <w:szCs w:val="20"/>
        </w:rPr>
        <w:t>Nature Reviews. Endocrinology</w:t>
      </w:r>
      <w:r w:rsidRPr="00835624">
        <w:rPr>
          <w:rFonts w:asciiTheme="majorBidi" w:hAnsiTheme="majorBidi" w:cstheme="majorBidi"/>
          <w:noProof/>
          <w:sz w:val="20"/>
          <w:szCs w:val="20"/>
        </w:rPr>
        <w:t xml:space="preserve">, </w:t>
      </w:r>
      <w:r w:rsidRPr="00835624">
        <w:rPr>
          <w:rFonts w:asciiTheme="majorBidi" w:hAnsiTheme="majorBidi" w:cstheme="majorBidi"/>
          <w:i/>
          <w:iCs/>
          <w:noProof/>
          <w:sz w:val="20"/>
          <w:szCs w:val="20"/>
        </w:rPr>
        <w:t>20</w:t>
      </w:r>
      <w:r w:rsidR="00A00296">
        <w:rPr>
          <w:rFonts w:asciiTheme="majorBidi" w:hAnsiTheme="majorBidi" w:cstheme="majorBidi"/>
          <w:noProof/>
          <w:sz w:val="20"/>
          <w:szCs w:val="20"/>
        </w:rPr>
        <w:t>(9), 511–525.</w:t>
      </w:r>
    </w:p>
    <w:p w14:paraId="7EF08E0A" w14:textId="00E9F262" w:rsidR="009E7326" w:rsidRPr="00835624" w:rsidRDefault="009E7326" w:rsidP="009665AA">
      <w:pPr>
        <w:pStyle w:val="ListParagraph"/>
        <w:widowControl w:val="0"/>
        <w:numPr>
          <w:ilvl w:val="0"/>
          <w:numId w:val="3"/>
        </w:numPr>
        <w:autoSpaceDE w:val="0"/>
        <w:autoSpaceDN w:val="0"/>
        <w:adjustRightInd w:val="0"/>
        <w:spacing w:after="0" w:line="240" w:lineRule="auto"/>
        <w:ind w:left="426"/>
        <w:jc w:val="both"/>
        <w:rPr>
          <w:rFonts w:asciiTheme="majorBidi" w:hAnsiTheme="majorBidi" w:cstheme="majorBidi"/>
          <w:noProof/>
          <w:sz w:val="20"/>
          <w:szCs w:val="20"/>
        </w:rPr>
      </w:pPr>
      <w:r w:rsidRPr="00835624">
        <w:rPr>
          <w:rFonts w:asciiTheme="majorBidi" w:hAnsiTheme="majorBidi" w:cstheme="majorBidi"/>
          <w:noProof/>
          <w:sz w:val="20"/>
          <w:szCs w:val="20"/>
        </w:rPr>
        <w:t>Mendoza-León, M. J</w:t>
      </w:r>
      <w:r w:rsidR="009665AA">
        <w:rPr>
          <w:rFonts w:asciiTheme="majorBidi" w:hAnsiTheme="majorBidi" w:cstheme="majorBidi"/>
          <w:noProof/>
          <w:sz w:val="20"/>
          <w:szCs w:val="20"/>
        </w:rPr>
        <w:t>.;</w:t>
      </w:r>
      <w:r w:rsidRPr="00835624">
        <w:rPr>
          <w:rFonts w:asciiTheme="majorBidi" w:hAnsiTheme="majorBidi" w:cstheme="majorBidi"/>
          <w:noProof/>
          <w:sz w:val="20"/>
          <w:szCs w:val="20"/>
        </w:rPr>
        <w:t xml:space="preserve"> Mangalam, A. K</w:t>
      </w:r>
      <w:r w:rsidR="009665AA">
        <w:rPr>
          <w:rFonts w:asciiTheme="majorBidi" w:hAnsiTheme="majorBidi" w:cstheme="majorBidi"/>
          <w:noProof/>
          <w:sz w:val="20"/>
          <w:szCs w:val="20"/>
        </w:rPr>
        <w:t>.;</w:t>
      </w:r>
      <w:r w:rsidRPr="00835624">
        <w:rPr>
          <w:rFonts w:asciiTheme="majorBidi" w:hAnsiTheme="majorBidi" w:cstheme="majorBidi"/>
          <w:noProof/>
          <w:sz w:val="20"/>
          <w:szCs w:val="20"/>
        </w:rPr>
        <w:t xml:space="preserve"> Regaldiz, A</w:t>
      </w:r>
      <w:r w:rsidR="009665AA">
        <w:rPr>
          <w:rFonts w:asciiTheme="majorBidi" w:hAnsiTheme="majorBidi" w:cstheme="majorBidi"/>
          <w:noProof/>
          <w:sz w:val="20"/>
          <w:szCs w:val="20"/>
        </w:rPr>
        <w:t>.;</w:t>
      </w:r>
      <w:r w:rsidRPr="00835624">
        <w:rPr>
          <w:rFonts w:asciiTheme="majorBidi" w:hAnsiTheme="majorBidi" w:cstheme="majorBidi"/>
          <w:noProof/>
          <w:sz w:val="20"/>
          <w:szCs w:val="20"/>
        </w:rPr>
        <w:t xml:space="preserve"> González-Madrid, E</w:t>
      </w:r>
      <w:r w:rsidR="009665AA">
        <w:rPr>
          <w:rFonts w:asciiTheme="majorBidi" w:hAnsiTheme="majorBidi" w:cstheme="majorBidi"/>
          <w:noProof/>
          <w:sz w:val="20"/>
          <w:szCs w:val="20"/>
        </w:rPr>
        <w:t>.;</w:t>
      </w:r>
      <w:r w:rsidRPr="00835624">
        <w:rPr>
          <w:rFonts w:asciiTheme="majorBidi" w:hAnsiTheme="majorBidi" w:cstheme="majorBidi"/>
          <w:noProof/>
          <w:sz w:val="20"/>
          <w:szCs w:val="20"/>
        </w:rPr>
        <w:t xml:space="preserve"> Rangel-Ramírez, M. A</w:t>
      </w:r>
      <w:r w:rsidR="009665AA">
        <w:rPr>
          <w:rFonts w:asciiTheme="majorBidi" w:hAnsiTheme="majorBidi" w:cstheme="majorBidi"/>
          <w:noProof/>
          <w:sz w:val="20"/>
          <w:szCs w:val="20"/>
        </w:rPr>
        <w:t>.;</w:t>
      </w:r>
      <w:r w:rsidRPr="00835624">
        <w:rPr>
          <w:rFonts w:asciiTheme="majorBidi" w:hAnsiTheme="majorBidi" w:cstheme="majorBidi"/>
          <w:noProof/>
          <w:sz w:val="20"/>
          <w:szCs w:val="20"/>
        </w:rPr>
        <w:t xml:space="preserve"> Álvarez-Mardonez, O., </w:t>
      </w:r>
      <w:r w:rsidR="009665AA">
        <w:rPr>
          <w:rFonts w:asciiTheme="majorBidi" w:hAnsiTheme="majorBidi" w:cstheme="majorBidi"/>
          <w:i/>
          <w:iCs/>
          <w:noProof/>
          <w:sz w:val="20"/>
          <w:szCs w:val="20"/>
        </w:rPr>
        <w:t>et al</w:t>
      </w:r>
      <w:r w:rsidRPr="00835624">
        <w:rPr>
          <w:rFonts w:asciiTheme="majorBidi" w:hAnsiTheme="majorBidi" w:cstheme="majorBidi"/>
          <w:noProof/>
          <w:sz w:val="20"/>
          <w:szCs w:val="20"/>
        </w:rPr>
        <w:t xml:space="preserve">. (2023). Gut microbiota short-chain fatty acids and their impact on the host thyroid  function and diseases. </w:t>
      </w:r>
      <w:r w:rsidRPr="00835624">
        <w:rPr>
          <w:rFonts w:asciiTheme="majorBidi" w:hAnsiTheme="majorBidi" w:cstheme="majorBidi"/>
          <w:i/>
          <w:iCs/>
          <w:noProof/>
          <w:sz w:val="20"/>
          <w:szCs w:val="20"/>
        </w:rPr>
        <w:t>Frontiers in Endocrinology</w:t>
      </w:r>
      <w:r w:rsidRPr="00835624">
        <w:rPr>
          <w:rFonts w:asciiTheme="majorBidi" w:hAnsiTheme="majorBidi" w:cstheme="majorBidi"/>
          <w:noProof/>
          <w:sz w:val="20"/>
          <w:szCs w:val="20"/>
        </w:rPr>
        <w:t xml:space="preserve">, </w:t>
      </w:r>
      <w:r w:rsidRPr="00835624">
        <w:rPr>
          <w:rFonts w:asciiTheme="majorBidi" w:hAnsiTheme="majorBidi" w:cstheme="majorBidi"/>
          <w:i/>
          <w:iCs/>
          <w:noProof/>
          <w:sz w:val="20"/>
          <w:szCs w:val="20"/>
        </w:rPr>
        <w:t>14</w:t>
      </w:r>
      <w:r w:rsidR="00835624">
        <w:rPr>
          <w:rFonts w:asciiTheme="majorBidi" w:hAnsiTheme="majorBidi" w:cstheme="majorBidi"/>
          <w:noProof/>
          <w:sz w:val="20"/>
          <w:szCs w:val="20"/>
        </w:rPr>
        <w:t>, 1192216.</w:t>
      </w:r>
    </w:p>
    <w:p w14:paraId="6D860905" w14:textId="38A1B4DC" w:rsidR="009E7326" w:rsidRPr="00835624" w:rsidRDefault="009E7326" w:rsidP="00835624">
      <w:pPr>
        <w:pStyle w:val="ListParagraph"/>
        <w:widowControl w:val="0"/>
        <w:numPr>
          <w:ilvl w:val="0"/>
          <w:numId w:val="3"/>
        </w:numPr>
        <w:autoSpaceDE w:val="0"/>
        <w:autoSpaceDN w:val="0"/>
        <w:adjustRightInd w:val="0"/>
        <w:spacing w:after="0" w:line="240" w:lineRule="auto"/>
        <w:ind w:left="426"/>
        <w:jc w:val="both"/>
        <w:rPr>
          <w:rFonts w:asciiTheme="majorBidi" w:hAnsiTheme="majorBidi" w:cstheme="majorBidi"/>
          <w:noProof/>
          <w:sz w:val="20"/>
          <w:szCs w:val="20"/>
        </w:rPr>
      </w:pPr>
      <w:r w:rsidRPr="00835624">
        <w:rPr>
          <w:rFonts w:asciiTheme="majorBidi" w:hAnsiTheme="majorBidi" w:cstheme="majorBidi"/>
          <w:noProof/>
          <w:sz w:val="20"/>
          <w:szCs w:val="20"/>
        </w:rPr>
        <w:t>Milo, T</w:t>
      </w:r>
      <w:r w:rsidR="009665AA">
        <w:rPr>
          <w:rFonts w:asciiTheme="majorBidi" w:hAnsiTheme="majorBidi" w:cstheme="majorBidi"/>
          <w:noProof/>
          <w:sz w:val="20"/>
          <w:szCs w:val="20"/>
        </w:rPr>
        <w:t>.;</w:t>
      </w:r>
      <w:r w:rsidRPr="00835624">
        <w:rPr>
          <w:rFonts w:asciiTheme="majorBidi" w:hAnsiTheme="majorBidi" w:cstheme="majorBidi"/>
          <w:noProof/>
          <w:sz w:val="20"/>
          <w:szCs w:val="20"/>
        </w:rPr>
        <w:t xml:space="preserve"> Korem Kohanim, Y</w:t>
      </w:r>
      <w:r w:rsidR="009665AA">
        <w:rPr>
          <w:rFonts w:asciiTheme="majorBidi" w:hAnsiTheme="majorBidi" w:cstheme="majorBidi"/>
          <w:noProof/>
          <w:sz w:val="20"/>
          <w:szCs w:val="20"/>
        </w:rPr>
        <w:t>.;</w:t>
      </w:r>
      <w:r w:rsidRPr="00835624">
        <w:rPr>
          <w:rFonts w:asciiTheme="majorBidi" w:hAnsiTheme="majorBidi" w:cstheme="majorBidi"/>
          <w:noProof/>
          <w:sz w:val="20"/>
          <w:szCs w:val="20"/>
        </w:rPr>
        <w:t xml:space="preserve"> Toledano, </w:t>
      </w:r>
      <w:r w:rsidRPr="00835624">
        <w:rPr>
          <w:rFonts w:asciiTheme="majorBidi" w:hAnsiTheme="majorBidi" w:cstheme="majorBidi"/>
          <w:noProof/>
          <w:sz w:val="20"/>
          <w:szCs w:val="20"/>
        </w:rPr>
        <w:lastRenderedPageBreak/>
        <w:t>Y</w:t>
      </w:r>
      <w:r w:rsidR="000B24AB">
        <w:rPr>
          <w:rFonts w:asciiTheme="majorBidi" w:hAnsiTheme="majorBidi" w:cstheme="majorBidi"/>
          <w:noProof/>
          <w:sz w:val="20"/>
          <w:szCs w:val="20"/>
        </w:rPr>
        <w:t>. and</w:t>
      </w:r>
      <w:r w:rsidRPr="00835624">
        <w:rPr>
          <w:rFonts w:asciiTheme="majorBidi" w:hAnsiTheme="majorBidi" w:cstheme="majorBidi"/>
          <w:noProof/>
          <w:sz w:val="20"/>
          <w:szCs w:val="20"/>
        </w:rPr>
        <w:t xml:space="preserve"> Alon, U. (2023). Autoimmune thyroid diseases as a cost of physiological autoimmune surveillance. </w:t>
      </w:r>
      <w:r w:rsidRPr="00835624">
        <w:rPr>
          <w:rFonts w:asciiTheme="majorBidi" w:hAnsiTheme="majorBidi" w:cstheme="majorBidi"/>
          <w:i/>
          <w:iCs/>
          <w:noProof/>
          <w:sz w:val="20"/>
          <w:szCs w:val="20"/>
        </w:rPr>
        <w:t>Trends in Immunology</w:t>
      </w:r>
      <w:r w:rsidRPr="00835624">
        <w:rPr>
          <w:rFonts w:asciiTheme="majorBidi" w:hAnsiTheme="majorBidi" w:cstheme="majorBidi"/>
          <w:noProof/>
          <w:sz w:val="20"/>
          <w:szCs w:val="20"/>
        </w:rPr>
        <w:t xml:space="preserve">, </w:t>
      </w:r>
      <w:r w:rsidRPr="00835624">
        <w:rPr>
          <w:rFonts w:asciiTheme="majorBidi" w:hAnsiTheme="majorBidi" w:cstheme="majorBidi"/>
          <w:i/>
          <w:iCs/>
          <w:noProof/>
          <w:sz w:val="20"/>
          <w:szCs w:val="20"/>
        </w:rPr>
        <w:t>44</w:t>
      </w:r>
      <w:r w:rsidRPr="00835624">
        <w:rPr>
          <w:rFonts w:asciiTheme="majorBidi" w:hAnsiTheme="majorBidi" w:cstheme="majorBidi"/>
          <w:noProof/>
          <w:sz w:val="20"/>
          <w:szCs w:val="20"/>
        </w:rPr>
        <w:t xml:space="preserve">(5), 365–371. </w:t>
      </w:r>
    </w:p>
    <w:p w14:paraId="4A14FA87" w14:textId="0B267B7E" w:rsidR="009E7326" w:rsidRPr="00835624" w:rsidRDefault="009E7326" w:rsidP="00A00296">
      <w:pPr>
        <w:pStyle w:val="ListParagraph"/>
        <w:widowControl w:val="0"/>
        <w:numPr>
          <w:ilvl w:val="0"/>
          <w:numId w:val="3"/>
        </w:numPr>
        <w:autoSpaceDE w:val="0"/>
        <w:autoSpaceDN w:val="0"/>
        <w:adjustRightInd w:val="0"/>
        <w:spacing w:after="0" w:line="240" w:lineRule="auto"/>
        <w:ind w:left="426"/>
        <w:jc w:val="both"/>
        <w:rPr>
          <w:rFonts w:asciiTheme="majorBidi" w:hAnsiTheme="majorBidi" w:cstheme="majorBidi"/>
          <w:noProof/>
          <w:sz w:val="20"/>
          <w:szCs w:val="20"/>
        </w:rPr>
      </w:pPr>
      <w:r w:rsidRPr="00835624">
        <w:rPr>
          <w:rFonts w:asciiTheme="majorBidi" w:hAnsiTheme="majorBidi" w:cstheme="majorBidi"/>
          <w:noProof/>
          <w:sz w:val="20"/>
          <w:szCs w:val="20"/>
        </w:rPr>
        <w:t xml:space="preserve">Vargas-Uricoechea, H. (2023). Molecular Mechanisms in Autoimmune Thyroid Disease. </w:t>
      </w:r>
      <w:r w:rsidRPr="00835624">
        <w:rPr>
          <w:rFonts w:asciiTheme="majorBidi" w:hAnsiTheme="majorBidi" w:cstheme="majorBidi"/>
          <w:i/>
          <w:iCs/>
          <w:noProof/>
          <w:sz w:val="20"/>
          <w:szCs w:val="20"/>
        </w:rPr>
        <w:t>Cells</w:t>
      </w:r>
      <w:r w:rsidRPr="00835624">
        <w:rPr>
          <w:rFonts w:asciiTheme="majorBidi" w:hAnsiTheme="majorBidi" w:cstheme="majorBidi"/>
          <w:noProof/>
          <w:sz w:val="20"/>
          <w:szCs w:val="20"/>
        </w:rPr>
        <w:t xml:space="preserve">, </w:t>
      </w:r>
      <w:r w:rsidRPr="00835624">
        <w:rPr>
          <w:rFonts w:asciiTheme="majorBidi" w:hAnsiTheme="majorBidi" w:cstheme="majorBidi"/>
          <w:i/>
          <w:iCs/>
          <w:noProof/>
          <w:sz w:val="20"/>
          <w:szCs w:val="20"/>
        </w:rPr>
        <w:t>12</w:t>
      </w:r>
      <w:r w:rsidRPr="00835624">
        <w:rPr>
          <w:rFonts w:asciiTheme="majorBidi" w:hAnsiTheme="majorBidi" w:cstheme="majorBidi"/>
          <w:noProof/>
          <w:sz w:val="20"/>
          <w:szCs w:val="20"/>
        </w:rPr>
        <w:t>(6).</w:t>
      </w:r>
    </w:p>
    <w:p w14:paraId="21DBF4AC" w14:textId="15AA36A6" w:rsidR="009E7326" w:rsidRPr="00835624" w:rsidRDefault="009E7326" w:rsidP="009665AA">
      <w:pPr>
        <w:pStyle w:val="ListParagraph"/>
        <w:widowControl w:val="0"/>
        <w:numPr>
          <w:ilvl w:val="0"/>
          <w:numId w:val="3"/>
        </w:numPr>
        <w:autoSpaceDE w:val="0"/>
        <w:autoSpaceDN w:val="0"/>
        <w:adjustRightInd w:val="0"/>
        <w:spacing w:after="0" w:line="240" w:lineRule="auto"/>
        <w:ind w:left="426"/>
        <w:jc w:val="both"/>
        <w:rPr>
          <w:rFonts w:asciiTheme="majorBidi" w:hAnsiTheme="majorBidi" w:cstheme="majorBidi"/>
          <w:noProof/>
          <w:sz w:val="20"/>
          <w:szCs w:val="20"/>
        </w:rPr>
      </w:pPr>
      <w:r w:rsidRPr="00835624">
        <w:rPr>
          <w:rFonts w:asciiTheme="majorBidi" w:hAnsiTheme="majorBidi" w:cstheme="majorBidi"/>
          <w:noProof/>
          <w:sz w:val="20"/>
          <w:szCs w:val="20"/>
        </w:rPr>
        <w:t>Ragusa, F</w:t>
      </w:r>
      <w:r w:rsidR="009665AA">
        <w:rPr>
          <w:rFonts w:asciiTheme="majorBidi" w:hAnsiTheme="majorBidi" w:cstheme="majorBidi"/>
          <w:noProof/>
          <w:sz w:val="20"/>
          <w:szCs w:val="20"/>
        </w:rPr>
        <w:t>.;</w:t>
      </w:r>
      <w:r w:rsidRPr="00835624">
        <w:rPr>
          <w:rFonts w:asciiTheme="majorBidi" w:hAnsiTheme="majorBidi" w:cstheme="majorBidi"/>
          <w:noProof/>
          <w:sz w:val="20"/>
          <w:szCs w:val="20"/>
        </w:rPr>
        <w:t xml:space="preserve"> Fallahi, P</w:t>
      </w:r>
      <w:r w:rsidR="009665AA">
        <w:rPr>
          <w:rFonts w:asciiTheme="majorBidi" w:hAnsiTheme="majorBidi" w:cstheme="majorBidi"/>
          <w:noProof/>
          <w:sz w:val="20"/>
          <w:szCs w:val="20"/>
        </w:rPr>
        <w:t>.;</w:t>
      </w:r>
      <w:r w:rsidRPr="00835624">
        <w:rPr>
          <w:rFonts w:asciiTheme="majorBidi" w:hAnsiTheme="majorBidi" w:cstheme="majorBidi"/>
          <w:noProof/>
          <w:sz w:val="20"/>
          <w:szCs w:val="20"/>
        </w:rPr>
        <w:t xml:space="preserve"> Elia, G</w:t>
      </w:r>
      <w:r w:rsidR="009665AA">
        <w:rPr>
          <w:rFonts w:asciiTheme="majorBidi" w:hAnsiTheme="majorBidi" w:cstheme="majorBidi"/>
          <w:noProof/>
          <w:sz w:val="20"/>
          <w:szCs w:val="20"/>
        </w:rPr>
        <w:t>.;</w:t>
      </w:r>
      <w:r w:rsidRPr="00835624">
        <w:rPr>
          <w:rFonts w:asciiTheme="majorBidi" w:hAnsiTheme="majorBidi" w:cstheme="majorBidi"/>
          <w:noProof/>
          <w:sz w:val="20"/>
          <w:szCs w:val="20"/>
        </w:rPr>
        <w:t xml:space="preserve"> Gonnella, D</w:t>
      </w:r>
      <w:r w:rsidR="009665AA">
        <w:rPr>
          <w:rFonts w:asciiTheme="majorBidi" w:hAnsiTheme="majorBidi" w:cstheme="majorBidi"/>
          <w:noProof/>
          <w:sz w:val="20"/>
          <w:szCs w:val="20"/>
        </w:rPr>
        <w:t>.;</w:t>
      </w:r>
      <w:r w:rsidRPr="00835624">
        <w:rPr>
          <w:rFonts w:asciiTheme="majorBidi" w:hAnsiTheme="majorBidi" w:cstheme="majorBidi"/>
          <w:noProof/>
          <w:sz w:val="20"/>
          <w:szCs w:val="20"/>
        </w:rPr>
        <w:t xml:space="preserve"> Paparo, S. R</w:t>
      </w:r>
      <w:r w:rsidR="009665AA">
        <w:rPr>
          <w:rFonts w:asciiTheme="majorBidi" w:hAnsiTheme="majorBidi" w:cstheme="majorBidi"/>
          <w:noProof/>
          <w:sz w:val="20"/>
          <w:szCs w:val="20"/>
        </w:rPr>
        <w:t>.;</w:t>
      </w:r>
      <w:r w:rsidRPr="00835624">
        <w:rPr>
          <w:rFonts w:asciiTheme="majorBidi" w:hAnsiTheme="majorBidi" w:cstheme="majorBidi"/>
          <w:noProof/>
          <w:sz w:val="20"/>
          <w:szCs w:val="20"/>
        </w:rPr>
        <w:t xml:space="preserve"> Giusti, C., </w:t>
      </w:r>
      <w:r w:rsidR="009665AA">
        <w:rPr>
          <w:rFonts w:asciiTheme="majorBidi" w:hAnsiTheme="majorBidi" w:cstheme="majorBidi"/>
          <w:i/>
          <w:iCs/>
          <w:noProof/>
          <w:sz w:val="20"/>
          <w:szCs w:val="20"/>
        </w:rPr>
        <w:t>et al</w:t>
      </w:r>
      <w:r w:rsidRPr="00835624">
        <w:rPr>
          <w:rFonts w:asciiTheme="majorBidi" w:hAnsiTheme="majorBidi" w:cstheme="majorBidi"/>
          <w:noProof/>
          <w:sz w:val="20"/>
          <w:szCs w:val="20"/>
        </w:rPr>
        <w:t xml:space="preserve">. (2019). Hashimotos’ thyroiditis: Epidemiology, pathogenesis, clinic and therapy. </w:t>
      </w:r>
      <w:r w:rsidRPr="00835624">
        <w:rPr>
          <w:rFonts w:asciiTheme="majorBidi" w:hAnsiTheme="majorBidi" w:cstheme="majorBidi"/>
          <w:i/>
          <w:iCs/>
          <w:noProof/>
          <w:sz w:val="20"/>
          <w:szCs w:val="20"/>
        </w:rPr>
        <w:t>Best Practice &amp; Research. Clinical Endocrinology &amp; Metabolism</w:t>
      </w:r>
      <w:r w:rsidRPr="00835624">
        <w:rPr>
          <w:rFonts w:asciiTheme="majorBidi" w:hAnsiTheme="majorBidi" w:cstheme="majorBidi"/>
          <w:noProof/>
          <w:sz w:val="20"/>
          <w:szCs w:val="20"/>
        </w:rPr>
        <w:t xml:space="preserve">, </w:t>
      </w:r>
      <w:r w:rsidRPr="00835624">
        <w:rPr>
          <w:rFonts w:asciiTheme="majorBidi" w:hAnsiTheme="majorBidi" w:cstheme="majorBidi"/>
          <w:i/>
          <w:iCs/>
          <w:noProof/>
          <w:sz w:val="20"/>
          <w:szCs w:val="20"/>
        </w:rPr>
        <w:t>33</w:t>
      </w:r>
      <w:r w:rsidRPr="00835624">
        <w:rPr>
          <w:rFonts w:asciiTheme="majorBidi" w:hAnsiTheme="majorBidi" w:cstheme="majorBidi"/>
          <w:noProof/>
          <w:sz w:val="20"/>
          <w:szCs w:val="20"/>
        </w:rPr>
        <w:t xml:space="preserve">(6), 101367. </w:t>
      </w:r>
    </w:p>
    <w:p w14:paraId="0E4625FB" w14:textId="1F355FAB" w:rsidR="009E7326" w:rsidRPr="00835624" w:rsidRDefault="009E7326" w:rsidP="00835624">
      <w:pPr>
        <w:pStyle w:val="ListParagraph"/>
        <w:widowControl w:val="0"/>
        <w:numPr>
          <w:ilvl w:val="0"/>
          <w:numId w:val="3"/>
        </w:numPr>
        <w:autoSpaceDE w:val="0"/>
        <w:autoSpaceDN w:val="0"/>
        <w:adjustRightInd w:val="0"/>
        <w:spacing w:after="0" w:line="240" w:lineRule="auto"/>
        <w:ind w:left="426"/>
        <w:jc w:val="both"/>
        <w:rPr>
          <w:rFonts w:asciiTheme="majorBidi" w:hAnsiTheme="majorBidi" w:cstheme="majorBidi"/>
          <w:noProof/>
          <w:sz w:val="20"/>
          <w:szCs w:val="20"/>
        </w:rPr>
      </w:pPr>
      <w:r w:rsidRPr="00835624">
        <w:rPr>
          <w:rFonts w:asciiTheme="majorBidi" w:hAnsiTheme="majorBidi" w:cstheme="majorBidi"/>
          <w:noProof/>
          <w:sz w:val="20"/>
          <w:szCs w:val="20"/>
        </w:rPr>
        <w:t xml:space="preserve">Masetti, G. (2019). </w:t>
      </w:r>
      <w:r w:rsidRPr="00835624">
        <w:rPr>
          <w:rFonts w:asciiTheme="majorBidi" w:hAnsiTheme="majorBidi" w:cstheme="majorBidi"/>
          <w:i/>
          <w:iCs/>
          <w:noProof/>
          <w:sz w:val="20"/>
          <w:szCs w:val="20"/>
        </w:rPr>
        <w:t>Deciphering the role of the gut microbiome in autoimmune thyroid disease</w:t>
      </w:r>
      <w:r w:rsidRPr="00835624">
        <w:rPr>
          <w:rFonts w:asciiTheme="majorBidi" w:hAnsiTheme="majorBidi" w:cstheme="majorBidi"/>
          <w:noProof/>
          <w:sz w:val="20"/>
          <w:szCs w:val="20"/>
        </w:rPr>
        <w:t>. Cardiff University.</w:t>
      </w:r>
    </w:p>
    <w:p w14:paraId="342BCA34" w14:textId="4A6787D5" w:rsidR="009E7326" w:rsidRPr="00835624" w:rsidRDefault="009E7326" w:rsidP="00835624">
      <w:pPr>
        <w:pStyle w:val="ListParagraph"/>
        <w:widowControl w:val="0"/>
        <w:numPr>
          <w:ilvl w:val="0"/>
          <w:numId w:val="3"/>
        </w:numPr>
        <w:autoSpaceDE w:val="0"/>
        <w:autoSpaceDN w:val="0"/>
        <w:adjustRightInd w:val="0"/>
        <w:spacing w:after="0" w:line="240" w:lineRule="auto"/>
        <w:ind w:left="426"/>
        <w:jc w:val="both"/>
        <w:rPr>
          <w:rFonts w:asciiTheme="majorBidi" w:hAnsiTheme="majorBidi" w:cstheme="majorBidi"/>
          <w:noProof/>
          <w:sz w:val="20"/>
          <w:szCs w:val="20"/>
        </w:rPr>
      </w:pPr>
      <w:r w:rsidRPr="00835624">
        <w:rPr>
          <w:rFonts w:asciiTheme="majorBidi" w:hAnsiTheme="majorBidi" w:cstheme="majorBidi"/>
          <w:noProof/>
          <w:sz w:val="20"/>
          <w:szCs w:val="20"/>
        </w:rPr>
        <w:t>Seyedjavadeyn, Z</w:t>
      </w:r>
      <w:r w:rsidR="00EC0DC1">
        <w:rPr>
          <w:rFonts w:asciiTheme="majorBidi" w:hAnsiTheme="majorBidi" w:cstheme="majorBidi"/>
          <w:noProof/>
          <w:sz w:val="20"/>
          <w:szCs w:val="20"/>
        </w:rPr>
        <w:t>.;</w:t>
      </w:r>
      <w:r w:rsidRPr="00835624">
        <w:rPr>
          <w:rFonts w:asciiTheme="majorBidi" w:hAnsiTheme="majorBidi" w:cstheme="majorBidi"/>
          <w:noProof/>
          <w:sz w:val="20"/>
          <w:szCs w:val="20"/>
        </w:rPr>
        <w:t xml:space="preserve"> Miratashi Yazdi, S. A</w:t>
      </w:r>
      <w:r w:rsidR="00EC0DC1">
        <w:rPr>
          <w:rFonts w:asciiTheme="majorBidi" w:hAnsiTheme="majorBidi" w:cstheme="majorBidi"/>
          <w:noProof/>
          <w:sz w:val="20"/>
          <w:szCs w:val="20"/>
        </w:rPr>
        <w:t>.;</w:t>
      </w:r>
      <w:r w:rsidRPr="00835624">
        <w:rPr>
          <w:rFonts w:asciiTheme="majorBidi" w:hAnsiTheme="majorBidi" w:cstheme="majorBidi"/>
          <w:noProof/>
          <w:sz w:val="20"/>
          <w:szCs w:val="20"/>
        </w:rPr>
        <w:t xml:space="preserve"> Samimiat, A</w:t>
      </w:r>
      <w:r w:rsidR="000B24AB">
        <w:rPr>
          <w:rFonts w:asciiTheme="majorBidi" w:hAnsiTheme="majorBidi" w:cstheme="majorBidi"/>
          <w:noProof/>
          <w:sz w:val="20"/>
          <w:szCs w:val="20"/>
        </w:rPr>
        <w:t>. and</w:t>
      </w:r>
      <w:r w:rsidRPr="00835624">
        <w:rPr>
          <w:rFonts w:asciiTheme="majorBidi" w:hAnsiTheme="majorBidi" w:cstheme="majorBidi"/>
          <w:noProof/>
          <w:sz w:val="20"/>
          <w:szCs w:val="20"/>
        </w:rPr>
        <w:t xml:space="preserve"> Vahedi, M. (2023). Thyrotoxicosis as a rare presentation in acute suppurative thyroiditis: a case report. </w:t>
      </w:r>
      <w:r w:rsidRPr="00835624">
        <w:rPr>
          <w:rFonts w:asciiTheme="majorBidi" w:hAnsiTheme="majorBidi" w:cstheme="majorBidi"/>
          <w:i/>
          <w:iCs/>
          <w:noProof/>
          <w:sz w:val="20"/>
          <w:szCs w:val="20"/>
        </w:rPr>
        <w:t>Journal of Medical Case Reports</w:t>
      </w:r>
      <w:r w:rsidRPr="00835624">
        <w:rPr>
          <w:rFonts w:asciiTheme="majorBidi" w:hAnsiTheme="majorBidi" w:cstheme="majorBidi"/>
          <w:noProof/>
          <w:sz w:val="20"/>
          <w:szCs w:val="20"/>
        </w:rPr>
        <w:t xml:space="preserve">, </w:t>
      </w:r>
      <w:r w:rsidRPr="00835624">
        <w:rPr>
          <w:rFonts w:asciiTheme="majorBidi" w:hAnsiTheme="majorBidi" w:cstheme="majorBidi"/>
          <w:i/>
          <w:iCs/>
          <w:noProof/>
          <w:sz w:val="20"/>
          <w:szCs w:val="20"/>
        </w:rPr>
        <w:t>17</w:t>
      </w:r>
      <w:r w:rsidRPr="00835624">
        <w:rPr>
          <w:rFonts w:asciiTheme="majorBidi" w:hAnsiTheme="majorBidi" w:cstheme="majorBidi"/>
          <w:noProof/>
          <w:sz w:val="20"/>
          <w:szCs w:val="20"/>
        </w:rPr>
        <w:t>(1), 428.</w:t>
      </w:r>
    </w:p>
    <w:p w14:paraId="0EF8F354" w14:textId="79C48495" w:rsidR="009E7326" w:rsidRPr="00835624" w:rsidRDefault="009E7326" w:rsidP="00835624">
      <w:pPr>
        <w:pStyle w:val="ListParagraph"/>
        <w:widowControl w:val="0"/>
        <w:numPr>
          <w:ilvl w:val="0"/>
          <w:numId w:val="3"/>
        </w:numPr>
        <w:autoSpaceDE w:val="0"/>
        <w:autoSpaceDN w:val="0"/>
        <w:adjustRightInd w:val="0"/>
        <w:spacing w:after="0" w:line="240" w:lineRule="auto"/>
        <w:ind w:left="426"/>
        <w:jc w:val="both"/>
        <w:rPr>
          <w:rFonts w:asciiTheme="majorBidi" w:hAnsiTheme="majorBidi" w:cstheme="majorBidi"/>
          <w:noProof/>
          <w:sz w:val="20"/>
          <w:szCs w:val="20"/>
        </w:rPr>
      </w:pPr>
      <w:r w:rsidRPr="00835624">
        <w:rPr>
          <w:rFonts w:asciiTheme="majorBidi" w:hAnsiTheme="majorBidi" w:cstheme="majorBidi"/>
          <w:noProof/>
          <w:sz w:val="20"/>
          <w:szCs w:val="20"/>
        </w:rPr>
        <w:t>Khalaf, Z. A</w:t>
      </w:r>
      <w:r w:rsidR="00EC0DC1">
        <w:rPr>
          <w:rFonts w:asciiTheme="majorBidi" w:hAnsiTheme="majorBidi" w:cstheme="majorBidi"/>
          <w:noProof/>
          <w:sz w:val="20"/>
          <w:szCs w:val="20"/>
        </w:rPr>
        <w:t>.;</w:t>
      </w:r>
      <w:r w:rsidRPr="00835624">
        <w:rPr>
          <w:rFonts w:asciiTheme="majorBidi" w:hAnsiTheme="majorBidi" w:cstheme="majorBidi"/>
          <w:noProof/>
          <w:sz w:val="20"/>
          <w:szCs w:val="20"/>
        </w:rPr>
        <w:t xml:space="preserve"> Jasim, H. M</w:t>
      </w:r>
      <w:r w:rsidR="000B24AB">
        <w:rPr>
          <w:rFonts w:asciiTheme="majorBidi" w:hAnsiTheme="majorBidi" w:cstheme="majorBidi"/>
          <w:noProof/>
          <w:sz w:val="20"/>
          <w:szCs w:val="20"/>
        </w:rPr>
        <w:t>. and</w:t>
      </w:r>
      <w:r w:rsidRPr="00835624">
        <w:rPr>
          <w:rFonts w:asciiTheme="majorBidi" w:hAnsiTheme="majorBidi" w:cstheme="majorBidi"/>
          <w:noProof/>
          <w:sz w:val="20"/>
          <w:szCs w:val="20"/>
        </w:rPr>
        <w:t xml:space="preserve"> Mahdi, A. A. (2021). FOXP3 and IL-10 overexpression: A novel diagnostic biomarker in Iraqi patients having hyperthyroidism treated with radioactive iodine. </w:t>
      </w:r>
      <w:r w:rsidRPr="00835624">
        <w:rPr>
          <w:rFonts w:asciiTheme="majorBidi" w:hAnsiTheme="majorBidi" w:cstheme="majorBidi"/>
          <w:i/>
          <w:iCs/>
          <w:noProof/>
          <w:sz w:val="20"/>
          <w:szCs w:val="20"/>
        </w:rPr>
        <w:t>Gene Reports</w:t>
      </w:r>
      <w:r w:rsidRPr="00835624">
        <w:rPr>
          <w:rFonts w:asciiTheme="majorBidi" w:hAnsiTheme="majorBidi" w:cstheme="majorBidi"/>
          <w:noProof/>
          <w:sz w:val="20"/>
          <w:szCs w:val="20"/>
        </w:rPr>
        <w:t xml:space="preserve">, </w:t>
      </w:r>
      <w:r w:rsidRPr="00835624">
        <w:rPr>
          <w:rFonts w:asciiTheme="majorBidi" w:hAnsiTheme="majorBidi" w:cstheme="majorBidi"/>
          <w:i/>
          <w:iCs/>
          <w:noProof/>
          <w:sz w:val="20"/>
          <w:szCs w:val="20"/>
        </w:rPr>
        <w:t>25</w:t>
      </w:r>
      <w:r w:rsidRPr="00835624">
        <w:rPr>
          <w:rFonts w:asciiTheme="majorBidi" w:hAnsiTheme="majorBidi" w:cstheme="majorBidi"/>
          <w:noProof/>
          <w:sz w:val="20"/>
          <w:szCs w:val="20"/>
        </w:rPr>
        <w:t>, 101384.</w:t>
      </w:r>
    </w:p>
    <w:p w14:paraId="7F9B8719" w14:textId="6B490246" w:rsidR="009E7326" w:rsidRPr="00835624" w:rsidRDefault="009E7326" w:rsidP="00EC0DC1">
      <w:pPr>
        <w:pStyle w:val="ListParagraph"/>
        <w:widowControl w:val="0"/>
        <w:numPr>
          <w:ilvl w:val="0"/>
          <w:numId w:val="3"/>
        </w:numPr>
        <w:autoSpaceDE w:val="0"/>
        <w:autoSpaceDN w:val="0"/>
        <w:adjustRightInd w:val="0"/>
        <w:spacing w:after="0" w:line="240" w:lineRule="auto"/>
        <w:ind w:left="426"/>
        <w:jc w:val="both"/>
        <w:rPr>
          <w:rFonts w:asciiTheme="majorBidi" w:hAnsiTheme="majorBidi" w:cstheme="majorBidi"/>
          <w:noProof/>
          <w:sz w:val="20"/>
          <w:szCs w:val="20"/>
        </w:rPr>
      </w:pPr>
      <w:r w:rsidRPr="00835624">
        <w:rPr>
          <w:rFonts w:asciiTheme="majorBidi" w:hAnsiTheme="majorBidi" w:cstheme="majorBidi"/>
          <w:noProof/>
          <w:sz w:val="20"/>
          <w:szCs w:val="20"/>
        </w:rPr>
        <w:t>Carlini, V</w:t>
      </w:r>
      <w:r w:rsidR="00EC0DC1">
        <w:rPr>
          <w:rFonts w:asciiTheme="majorBidi" w:hAnsiTheme="majorBidi" w:cstheme="majorBidi"/>
          <w:noProof/>
          <w:sz w:val="20"/>
          <w:szCs w:val="20"/>
        </w:rPr>
        <w:t>.;</w:t>
      </w:r>
      <w:r w:rsidRPr="00835624">
        <w:rPr>
          <w:rFonts w:asciiTheme="majorBidi" w:hAnsiTheme="majorBidi" w:cstheme="majorBidi"/>
          <w:noProof/>
          <w:sz w:val="20"/>
          <w:szCs w:val="20"/>
        </w:rPr>
        <w:t xml:space="preserve"> Noonan, D. M</w:t>
      </w:r>
      <w:r w:rsidR="00EC0DC1">
        <w:rPr>
          <w:rFonts w:asciiTheme="majorBidi" w:hAnsiTheme="majorBidi" w:cstheme="majorBidi"/>
          <w:noProof/>
          <w:sz w:val="20"/>
          <w:szCs w:val="20"/>
        </w:rPr>
        <w:t>.;</w:t>
      </w:r>
      <w:r w:rsidRPr="00835624">
        <w:rPr>
          <w:rFonts w:asciiTheme="majorBidi" w:hAnsiTheme="majorBidi" w:cstheme="majorBidi"/>
          <w:noProof/>
          <w:sz w:val="20"/>
          <w:szCs w:val="20"/>
        </w:rPr>
        <w:t xml:space="preserve"> Abdalalem, E</w:t>
      </w:r>
      <w:r w:rsidR="00EC0DC1">
        <w:rPr>
          <w:rFonts w:asciiTheme="majorBidi" w:hAnsiTheme="majorBidi" w:cstheme="majorBidi"/>
          <w:noProof/>
          <w:sz w:val="20"/>
          <w:szCs w:val="20"/>
        </w:rPr>
        <w:t>.;</w:t>
      </w:r>
      <w:r w:rsidRPr="00835624">
        <w:rPr>
          <w:rFonts w:asciiTheme="majorBidi" w:hAnsiTheme="majorBidi" w:cstheme="majorBidi"/>
          <w:noProof/>
          <w:sz w:val="20"/>
          <w:szCs w:val="20"/>
        </w:rPr>
        <w:t xml:space="preserve"> Goletti, D</w:t>
      </w:r>
      <w:r w:rsidR="00EC0DC1">
        <w:rPr>
          <w:rFonts w:asciiTheme="majorBidi" w:hAnsiTheme="majorBidi" w:cstheme="majorBidi"/>
          <w:noProof/>
          <w:sz w:val="20"/>
          <w:szCs w:val="20"/>
        </w:rPr>
        <w:t>.;</w:t>
      </w:r>
      <w:r w:rsidRPr="00835624">
        <w:rPr>
          <w:rFonts w:asciiTheme="majorBidi" w:hAnsiTheme="majorBidi" w:cstheme="majorBidi"/>
          <w:noProof/>
          <w:sz w:val="20"/>
          <w:szCs w:val="20"/>
        </w:rPr>
        <w:t xml:space="preserve"> Sansone, C</w:t>
      </w:r>
      <w:r w:rsidR="00EC0DC1">
        <w:rPr>
          <w:rFonts w:asciiTheme="majorBidi" w:hAnsiTheme="majorBidi" w:cstheme="majorBidi"/>
          <w:noProof/>
          <w:sz w:val="20"/>
          <w:szCs w:val="20"/>
        </w:rPr>
        <w:t>.;</w:t>
      </w:r>
      <w:r w:rsidRPr="00835624">
        <w:rPr>
          <w:rFonts w:asciiTheme="majorBidi" w:hAnsiTheme="majorBidi" w:cstheme="majorBidi"/>
          <w:noProof/>
          <w:sz w:val="20"/>
          <w:szCs w:val="20"/>
        </w:rPr>
        <w:t xml:space="preserve"> Calabrone, L</w:t>
      </w:r>
      <w:r w:rsidR="000B24AB">
        <w:rPr>
          <w:rFonts w:asciiTheme="majorBidi" w:hAnsiTheme="majorBidi" w:cstheme="majorBidi"/>
          <w:noProof/>
          <w:sz w:val="20"/>
          <w:szCs w:val="20"/>
        </w:rPr>
        <w:t>.</w:t>
      </w:r>
      <w:r w:rsidR="00EC0DC1">
        <w:rPr>
          <w:rFonts w:asciiTheme="majorBidi" w:hAnsiTheme="majorBidi" w:cstheme="majorBidi"/>
          <w:noProof/>
          <w:sz w:val="20"/>
          <w:szCs w:val="20"/>
        </w:rPr>
        <w:t>,</w:t>
      </w:r>
      <w:r w:rsidR="000B24AB">
        <w:rPr>
          <w:rFonts w:asciiTheme="majorBidi" w:hAnsiTheme="majorBidi" w:cstheme="majorBidi"/>
          <w:noProof/>
          <w:sz w:val="20"/>
          <w:szCs w:val="20"/>
        </w:rPr>
        <w:t xml:space="preserve"> </w:t>
      </w:r>
      <w:r w:rsidR="00EC0DC1">
        <w:rPr>
          <w:rFonts w:asciiTheme="majorBidi" w:hAnsiTheme="majorBidi" w:cstheme="majorBidi"/>
          <w:i/>
          <w:iCs/>
          <w:noProof/>
          <w:sz w:val="20"/>
          <w:szCs w:val="20"/>
        </w:rPr>
        <w:t>et al</w:t>
      </w:r>
      <w:r w:rsidRPr="00835624">
        <w:rPr>
          <w:rFonts w:asciiTheme="majorBidi" w:hAnsiTheme="majorBidi" w:cstheme="majorBidi"/>
          <w:noProof/>
          <w:sz w:val="20"/>
          <w:szCs w:val="20"/>
        </w:rPr>
        <w:t xml:space="preserve">. (2023). The multifaceted nature of IL-10: regulation, role in immunological homeostasis and its relevance to cancer, COVID-19 and post-COVID conditions. </w:t>
      </w:r>
      <w:r w:rsidRPr="00835624">
        <w:rPr>
          <w:rFonts w:asciiTheme="majorBidi" w:hAnsiTheme="majorBidi" w:cstheme="majorBidi"/>
          <w:i/>
          <w:iCs/>
          <w:noProof/>
          <w:sz w:val="20"/>
          <w:szCs w:val="20"/>
        </w:rPr>
        <w:t>Frontiers in Immunology</w:t>
      </w:r>
      <w:r w:rsidRPr="00835624">
        <w:rPr>
          <w:rFonts w:asciiTheme="majorBidi" w:hAnsiTheme="majorBidi" w:cstheme="majorBidi"/>
          <w:noProof/>
          <w:sz w:val="20"/>
          <w:szCs w:val="20"/>
        </w:rPr>
        <w:t xml:space="preserve">, </w:t>
      </w:r>
      <w:r w:rsidRPr="00835624">
        <w:rPr>
          <w:rFonts w:asciiTheme="majorBidi" w:hAnsiTheme="majorBidi" w:cstheme="majorBidi"/>
          <w:i/>
          <w:iCs/>
          <w:noProof/>
          <w:sz w:val="20"/>
          <w:szCs w:val="20"/>
        </w:rPr>
        <w:t>14</w:t>
      </w:r>
      <w:r w:rsidRPr="00835624">
        <w:rPr>
          <w:rFonts w:asciiTheme="majorBidi" w:hAnsiTheme="majorBidi" w:cstheme="majorBidi"/>
          <w:noProof/>
          <w:sz w:val="20"/>
          <w:szCs w:val="20"/>
        </w:rPr>
        <w:t>, 1161067.</w:t>
      </w:r>
    </w:p>
    <w:p w14:paraId="0C9AC305" w14:textId="00110855" w:rsidR="009E7326" w:rsidRPr="00835624" w:rsidRDefault="009E7326" w:rsidP="00A00296">
      <w:pPr>
        <w:pStyle w:val="ListParagraph"/>
        <w:widowControl w:val="0"/>
        <w:numPr>
          <w:ilvl w:val="0"/>
          <w:numId w:val="3"/>
        </w:numPr>
        <w:autoSpaceDE w:val="0"/>
        <w:autoSpaceDN w:val="0"/>
        <w:adjustRightInd w:val="0"/>
        <w:spacing w:after="0" w:line="240" w:lineRule="auto"/>
        <w:ind w:left="426"/>
        <w:jc w:val="both"/>
        <w:rPr>
          <w:rFonts w:asciiTheme="majorBidi" w:hAnsiTheme="majorBidi" w:cstheme="majorBidi"/>
          <w:noProof/>
          <w:sz w:val="20"/>
          <w:szCs w:val="20"/>
        </w:rPr>
      </w:pPr>
      <w:r w:rsidRPr="00835624">
        <w:rPr>
          <w:rFonts w:asciiTheme="majorBidi" w:hAnsiTheme="majorBidi" w:cstheme="majorBidi"/>
          <w:noProof/>
          <w:sz w:val="20"/>
          <w:szCs w:val="20"/>
        </w:rPr>
        <w:t>Mohammed, M. Q</w:t>
      </w:r>
      <w:r w:rsidR="00A007FF">
        <w:rPr>
          <w:rFonts w:asciiTheme="majorBidi" w:hAnsiTheme="majorBidi" w:cstheme="majorBidi"/>
          <w:noProof/>
          <w:sz w:val="20"/>
          <w:szCs w:val="20"/>
        </w:rPr>
        <w:t>.;</w:t>
      </w:r>
      <w:r w:rsidRPr="00835624">
        <w:rPr>
          <w:rFonts w:asciiTheme="majorBidi" w:hAnsiTheme="majorBidi" w:cstheme="majorBidi"/>
          <w:noProof/>
          <w:sz w:val="20"/>
          <w:szCs w:val="20"/>
        </w:rPr>
        <w:t xml:space="preserve"> Alwan, A. H</w:t>
      </w:r>
      <w:r w:rsidR="000B24AB">
        <w:rPr>
          <w:rFonts w:asciiTheme="majorBidi" w:hAnsiTheme="majorBidi" w:cstheme="majorBidi"/>
          <w:noProof/>
          <w:sz w:val="20"/>
          <w:szCs w:val="20"/>
        </w:rPr>
        <w:t>. and</w:t>
      </w:r>
      <w:r w:rsidRPr="00835624">
        <w:rPr>
          <w:rFonts w:asciiTheme="majorBidi" w:hAnsiTheme="majorBidi" w:cstheme="majorBidi"/>
          <w:noProof/>
          <w:sz w:val="20"/>
          <w:szCs w:val="20"/>
        </w:rPr>
        <w:t xml:space="preserve"> Almukhtar, A. A. (2023). Estimation of Serum TLR-9, TNF-α, and IL-6 Levels in the Iraqi Patients Diagnosed as Acute Myelogenous Leukemia. </w:t>
      </w:r>
      <w:r w:rsidRPr="00835624">
        <w:rPr>
          <w:rFonts w:asciiTheme="majorBidi" w:hAnsiTheme="majorBidi" w:cstheme="majorBidi"/>
          <w:i/>
          <w:iCs/>
          <w:noProof/>
          <w:sz w:val="20"/>
          <w:szCs w:val="20"/>
        </w:rPr>
        <w:t>Baghdad Science Journal</w:t>
      </w:r>
      <w:r w:rsidRPr="00835624">
        <w:rPr>
          <w:rFonts w:asciiTheme="majorBidi" w:hAnsiTheme="majorBidi" w:cstheme="majorBidi"/>
          <w:noProof/>
          <w:sz w:val="20"/>
          <w:szCs w:val="20"/>
        </w:rPr>
        <w:t xml:space="preserve">, </w:t>
      </w:r>
      <w:r w:rsidRPr="00835624">
        <w:rPr>
          <w:rFonts w:asciiTheme="majorBidi" w:hAnsiTheme="majorBidi" w:cstheme="majorBidi"/>
          <w:i/>
          <w:iCs/>
          <w:noProof/>
          <w:sz w:val="20"/>
          <w:szCs w:val="20"/>
        </w:rPr>
        <w:t>21</w:t>
      </w:r>
      <w:r w:rsidRPr="00835624">
        <w:rPr>
          <w:rFonts w:asciiTheme="majorBidi" w:hAnsiTheme="majorBidi" w:cstheme="majorBidi"/>
          <w:noProof/>
          <w:sz w:val="20"/>
          <w:szCs w:val="20"/>
        </w:rPr>
        <w:t xml:space="preserve">(7), 2182–2190. </w:t>
      </w:r>
    </w:p>
    <w:p w14:paraId="283850BD" w14:textId="7AA162ED" w:rsidR="009E7326" w:rsidRPr="00835624" w:rsidRDefault="009E7326" w:rsidP="00A00296">
      <w:pPr>
        <w:pStyle w:val="ListParagraph"/>
        <w:widowControl w:val="0"/>
        <w:numPr>
          <w:ilvl w:val="0"/>
          <w:numId w:val="3"/>
        </w:numPr>
        <w:autoSpaceDE w:val="0"/>
        <w:autoSpaceDN w:val="0"/>
        <w:adjustRightInd w:val="0"/>
        <w:spacing w:after="0" w:line="240" w:lineRule="auto"/>
        <w:ind w:left="426"/>
        <w:jc w:val="both"/>
        <w:rPr>
          <w:rFonts w:asciiTheme="majorBidi" w:hAnsiTheme="majorBidi" w:cstheme="majorBidi"/>
          <w:noProof/>
          <w:sz w:val="20"/>
          <w:szCs w:val="20"/>
        </w:rPr>
      </w:pPr>
      <w:r w:rsidRPr="00835624">
        <w:rPr>
          <w:rFonts w:asciiTheme="majorBidi" w:hAnsiTheme="majorBidi" w:cstheme="majorBidi"/>
          <w:noProof/>
          <w:sz w:val="20"/>
          <w:szCs w:val="20"/>
        </w:rPr>
        <w:t>Alhubaish, E. S</w:t>
      </w:r>
      <w:r w:rsidR="00A007FF">
        <w:rPr>
          <w:rFonts w:asciiTheme="majorBidi" w:hAnsiTheme="majorBidi" w:cstheme="majorBidi"/>
          <w:noProof/>
          <w:sz w:val="20"/>
          <w:szCs w:val="20"/>
        </w:rPr>
        <w:t>.;</w:t>
      </w:r>
      <w:r w:rsidRPr="00835624">
        <w:rPr>
          <w:rFonts w:asciiTheme="majorBidi" w:hAnsiTheme="majorBidi" w:cstheme="majorBidi"/>
          <w:noProof/>
          <w:sz w:val="20"/>
          <w:szCs w:val="20"/>
        </w:rPr>
        <w:t xml:space="preserve"> Alibrahim, N. T</w:t>
      </w:r>
      <w:r w:rsidR="000B24AB">
        <w:rPr>
          <w:rFonts w:asciiTheme="majorBidi" w:hAnsiTheme="majorBidi" w:cstheme="majorBidi"/>
          <w:noProof/>
          <w:sz w:val="20"/>
          <w:szCs w:val="20"/>
        </w:rPr>
        <w:t>. and</w:t>
      </w:r>
      <w:r w:rsidRPr="00835624">
        <w:rPr>
          <w:rFonts w:asciiTheme="majorBidi" w:hAnsiTheme="majorBidi" w:cstheme="majorBidi"/>
          <w:noProof/>
          <w:sz w:val="20"/>
          <w:szCs w:val="20"/>
        </w:rPr>
        <w:t xml:space="preserve"> Mansour, A. A. (2023). The Clinical Implications of Anti-thyroid Peroxidase Antibodies in Graves’  Disease in Basrah. </w:t>
      </w:r>
      <w:r w:rsidRPr="00835624">
        <w:rPr>
          <w:rFonts w:asciiTheme="majorBidi" w:hAnsiTheme="majorBidi" w:cstheme="majorBidi"/>
          <w:i/>
          <w:iCs/>
          <w:noProof/>
          <w:sz w:val="20"/>
          <w:szCs w:val="20"/>
        </w:rPr>
        <w:t>Cureus</w:t>
      </w:r>
      <w:r w:rsidRPr="00835624">
        <w:rPr>
          <w:rFonts w:asciiTheme="majorBidi" w:hAnsiTheme="majorBidi" w:cstheme="majorBidi"/>
          <w:noProof/>
          <w:sz w:val="20"/>
          <w:szCs w:val="20"/>
        </w:rPr>
        <w:t xml:space="preserve">, </w:t>
      </w:r>
      <w:r w:rsidRPr="00835624">
        <w:rPr>
          <w:rFonts w:asciiTheme="majorBidi" w:hAnsiTheme="majorBidi" w:cstheme="majorBidi"/>
          <w:i/>
          <w:iCs/>
          <w:noProof/>
          <w:sz w:val="20"/>
          <w:szCs w:val="20"/>
        </w:rPr>
        <w:t>15</w:t>
      </w:r>
      <w:r w:rsidRPr="00835624">
        <w:rPr>
          <w:rFonts w:asciiTheme="majorBidi" w:hAnsiTheme="majorBidi" w:cstheme="majorBidi"/>
          <w:noProof/>
          <w:sz w:val="20"/>
          <w:szCs w:val="20"/>
        </w:rPr>
        <w:t xml:space="preserve">(3), e36778. </w:t>
      </w:r>
    </w:p>
    <w:p w14:paraId="137E25CD" w14:textId="3F04C35A" w:rsidR="009E7326" w:rsidRPr="00835624" w:rsidRDefault="009E7326" w:rsidP="00835624">
      <w:pPr>
        <w:pStyle w:val="ListParagraph"/>
        <w:widowControl w:val="0"/>
        <w:numPr>
          <w:ilvl w:val="0"/>
          <w:numId w:val="3"/>
        </w:numPr>
        <w:autoSpaceDE w:val="0"/>
        <w:autoSpaceDN w:val="0"/>
        <w:adjustRightInd w:val="0"/>
        <w:spacing w:after="0" w:line="240" w:lineRule="auto"/>
        <w:ind w:left="426"/>
        <w:jc w:val="both"/>
        <w:rPr>
          <w:rFonts w:asciiTheme="majorBidi" w:hAnsiTheme="majorBidi" w:cstheme="majorBidi"/>
          <w:noProof/>
          <w:sz w:val="20"/>
          <w:szCs w:val="20"/>
        </w:rPr>
      </w:pPr>
      <w:r w:rsidRPr="00835624">
        <w:rPr>
          <w:rFonts w:asciiTheme="majorBidi" w:hAnsiTheme="majorBidi" w:cstheme="majorBidi"/>
          <w:noProof/>
          <w:sz w:val="20"/>
          <w:szCs w:val="20"/>
        </w:rPr>
        <w:t>Radhi, S. M</w:t>
      </w:r>
      <w:r w:rsidR="00A007FF">
        <w:rPr>
          <w:rFonts w:asciiTheme="majorBidi" w:hAnsiTheme="majorBidi" w:cstheme="majorBidi"/>
          <w:noProof/>
          <w:sz w:val="20"/>
          <w:szCs w:val="20"/>
        </w:rPr>
        <w:t>.;</w:t>
      </w:r>
      <w:r w:rsidRPr="00835624">
        <w:rPr>
          <w:rFonts w:asciiTheme="majorBidi" w:hAnsiTheme="majorBidi" w:cstheme="majorBidi"/>
          <w:noProof/>
          <w:sz w:val="20"/>
          <w:szCs w:val="20"/>
        </w:rPr>
        <w:t xml:space="preserve"> Al-Jumaili, E. F</w:t>
      </w:r>
      <w:r w:rsidR="000B24AB">
        <w:rPr>
          <w:rFonts w:asciiTheme="majorBidi" w:hAnsiTheme="majorBidi" w:cstheme="majorBidi"/>
          <w:noProof/>
          <w:sz w:val="20"/>
          <w:szCs w:val="20"/>
        </w:rPr>
        <w:t>. and</w:t>
      </w:r>
      <w:r w:rsidRPr="00835624">
        <w:rPr>
          <w:rFonts w:asciiTheme="majorBidi" w:hAnsiTheme="majorBidi" w:cstheme="majorBidi"/>
          <w:noProof/>
          <w:sz w:val="20"/>
          <w:szCs w:val="20"/>
        </w:rPr>
        <w:t xml:space="preserve"> Al-hilal, M. A. (2022). Evolution of Thyroid Autoantibodies and Thyroid Parameters in Iraqi Hypothyroidism Patients. </w:t>
      </w:r>
      <w:r w:rsidRPr="00835624">
        <w:rPr>
          <w:rFonts w:asciiTheme="majorBidi" w:hAnsiTheme="majorBidi" w:cstheme="majorBidi"/>
          <w:i/>
          <w:iCs/>
          <w:noProof/>
          <w:sz w:val="20"/>
          <w:szCs w:val="20"/>
        </w:rPr>
        <w:t>Iraqi Journal of Biotechnology</w:t>
      </w:r>
      <w:r w:rsidRPr="00835624">
        <w:rPr>
          <w:rFonts w:asciiTheme="majorBidi" w:hAnsiTheme="majorBidi" w:cstheme="majorBidi"/>
          <w:noProof/>
          <w:sz w:val="20"/>
          <w:szCs w:val="20"/>
        </w:rPr>
        <w:t xml:space="preserve">, </w:t>
      </w:r>
      <w:r w:rsidRPr="00835624">
        <w:rPr>
          <w:rFonts w:asciiTheme="majorBidi" w:hAnsiTheme="majorBidi" w:cstheme="majorBidi"/>
          <w:i/>
          <w:iCs/>
          <w:noProof/>
          <w:sz w:val="20"/>
          <w:szCs w:val="20"/>
        </w:rPr>
        <w:t>21</w:t>
      </w:r>
      <w:r w:rsidRPr="00835624">
        <w:rPr>
          <w:rFonts w:asciiTheme="majorBidi" w:hAnsiTheme="majorBidi" w:cstheme="majorBidi"/>
          <w:noProof/>
          <w:sz w:val="20"/>
          <w:szCs w:val="20"/>
        </w:rPr>
        <w:t>(2).</w:t>
      </w:r>
    </w:p>
    <w:p w14:paraId="697CD35B" w14:textId="11CB10FD" w:rsidR="009E7326" w:rsidRPr="00835624" w:rsidRDefault="009E7326" w:rsidP="00A00296">
      <w:pPr>
        <w:pStyle w:val="ListParagraph"/>
        <w:widowControl w:val="0"/>
        <w:numPr>
          <w:ilvl w:val="0"/>
          <w:numId w:val="3"/>
        </w:numPr>
        <w:autoSpaceDE w:val="0"/>
        <w:autoSpaceDN w:val="0"/>
        <w:adjustRightInd w:val="0"/>
        <w:spacing w:after="0" w:line="240" w:lineRule="auto"/>
        <w:ind w:left="426"/>
        <w:jc w:val="both"/>
        <w:rPr>
          <w:rFonts w:asciiTheme="majorBidi" w:hAnsiTheme="majorBidi" w:cstheme="majorBidi"/>
          <w:noProof/>
          <w:sz w:val="20"/>
          <w:szCs w:val="20"/>
        </w:rPr>
      </w:pPr>
      <w:r w:rsidRPr="00835624">
        <w:rPr>
          <w:rFonts w:asciiTheme="majorBidi" w:hAnsiTheme="majorBidi" w:cstheme="majorBidi"/>
          <w:noProof/>
          <w:sz w:val="20"/>
          <w:szCs w:val="20"/>
        </w:rPr>
        <w:t>Ghahremanfard, F</w:t>
      </w:r>
      <w:r w:rsidR="00A007FF">
        <w:rPr>
          <w:rFonts w:asciiTheme="majorBidi" w:hAnsiTheme="majorBidi" w:cstheme="majorBidi"/>
          <w:noProof/>
          <w:sz w:val="20"/>
          <w:szCs w:val="20"/>
        </w:rPr>
        <w:t>.;</w:t>
      </w:r>
      <w:r w:rsidRPr="00835624">
        <w:rPr>
          <w:rFonts w:asciiTheme="majorBidi" w:hAnsiTheme="majorBidi" w:cstheme="majorBidi"/>
          <w:noProof/>
          <w:sz w:val="20"/>
          <w:szCs w:val="20"/>
        </w:rPr>
        <w:t xml:space="preserve"> Jandaghi, E</w:t>
      </w:r>
      <w:r w:rsidR="00A007FF">
        <w:rPr>
          <w:rFonts w:asciiTheme="majorBidi" w:hAnsiTheme="majorBidi" w:cstheme="majorBidi"/>
          <w:noProof/>
          <w:sz w:val="20"/>
          <w:szCs w:val="20"/>
        </w:rPr>
        <w:t>.;</w:t>
      </w:r>
      <w:r w:rsidRPr="00835624">
        <w:rPr>
          <w:rFonts w:asciiTheme="majorBidi" w:hAnsiTheme="majorBidi" w:cstheme="majorBidi"/>
          <w:noProof/>
          <w:sz w:val="20"/>
          <w:szCs w:val="20"/>
        </w:rPr>
        <w:t xml:space="preserve"> Ghobad, R</w:t>
      </w:r>
      <w:r w:rsidR="00A007FF">
        <w:rPr>
          <w:rFonts w:asciiTheme="majorBidi" w:hAnsiTheme="majorBidi" w:cstheme="majorBidi"/>
          <w:noProof/>
          <w:sz w:val="20"/>
          <w:szCs w:val="20"/>
        </w:rPr>
        <w:t>.;</w:t>
      </w:r>
      <w:r w:rsidRPr="00835624">
        <w:rPr>
          <w:rFonts w:asciiTheme="majorBidi" w:hAnsiTheme="majorBidi" w:cstheme="majorBidi"/>
          <w:noProof/>
          <w:sz w:val="20"/>
          <w:szCs w:val="20"/>
        </w:rPr>
        <w:t xml:space="preserve"> Mirmohammadkhani, M</w:t>
      </w:r>
      <w:r w:rsidR="000B24AB">
        <w:rPr>
          <w:rFonts w:asciiTheme="majorBidi" w:hAnsiTheme="majorBidi" w:cstheme="majorBidi"/>
          <w:noProof/>
          <w:sz w:val="20"/>
          <w:szCs w:val="20"/>
        </w:rPr>
        <w:t>. and</w:t>
      </w:r>
      <w:r w:rsidRPr="00835624">
        <w:rPr>
          <w:rFonts w:asciiTheme="majorBidi" w:hAnsiTheme="majorBidi" w:cstheme="majorBidi"/>
          <w:noProof/>
          <w:sz w:val="20"/>
          <w:szCs w:val="20"/>
        </w:rPr>
        <w:t xml:space="preserve"> Sarabi, M. (2023). Anti-TPO antibody and thyroid hormone levels in Iranian female breast </w:t>
      </w:r>
      <w:r w:rsidRPr="00835624">
        <w:rPr>
          <w:rFonts w:asciiTheme="majorBidi" w:hAnsiTheme="majorBidi" w:cstheme="majorBidi"/>
          <w:noProof/>
          <w:sz w:val="20"/>
          <w:szCs w:val="20"/>
        </w:rPr>
        <w:t xml:space="preserve">cancer  patients and their association with prognostic factors: a case-control study. </w:t>
      </w:r>
      <w:r w:rsidRPr="00835624">
        <w:rPr>
          <w:rFonts w:asciiTheme="majorBidi" w:hAnsiTheme="majorBidi" w:cstheme="majorBidi"/>
          <w:i/>
          <w:iCs/>
          <w:noProof/>
          <w:sz w:val="20"/>
          <w:szCs w:val="20"/>
        </w:rPr>
        <w:t>European Journal of Translational Myology</w:t>
      </w:r>
      <w:r w:rsidRPr="00835624">
        <w:rPr>
          <w:rFonts w:asciiTheme="majorBidi" w:hAnsiTheme="majorBidi" w:cstheme="majorBidi"/>
          <w:noProof/>
          <w:sz w:val="20"/>
          <w:szCs w:val="20"/>
        </w:rPr>
        <w:t xml:space="preserve">, </w:t>
      </w:r>
      <w:r w:rsidRPr="00835624">
        <w:rPr>
          <w:rFonts w:asciiTheme="majorBidi" w:hAnsiTheme="majorBidi" w:cstheme="majorBidi"/>
          <w:i/>
          <w:iCs/>
          <w:noProof/>
          <w:sz w:val="20"/>
          <w:szCs w:val="20"/>
        </w:rPr>
        <w:t>33</w:t>
      </w:r>
      <w:r w:rsidRPr="00835624">
        <w:rPr>
          <w:rFonts w:asciiTheme="majorBidi" w:hAnsiTheme="majorBidi" w:cstheme="majorBidi"/>
          <w:noProof/>
          <w:sz w:val="20"/>
          <w:szCs w:val="20"/>
        </w:rPr>
        <w:t xml:space="preserve">(1). </w:t>
      </w:r>
    </w:p>
    <w:p w14:paraId="74C53880" w14:textId="525AA748" w:rsidR="009E7326" w:rsidRPr="00C6335B" w:rsidRDefault="009E7326" w:rsidP="00A007FF">
      <w:pPr>
        <w:pStyle w:val="ListParagraph"/>
        <w:widowControl w:val="0"/>
        <w:numPr>
          <w:ilvl w:val="0"/>
          <w:numId w:val="3"/>
        </w:numPr>
        <w:autoSpaceDE w:val="0"/>
        <w:autoSpaceDN w:val="0"/>
        <w:adjustRightInd w:val="0"/>
        <w:spacing w:after="0" w:line="240" w:lineRule="auto"/>
        <w:ind w:left="426"/>
        <w:jc w:val="both"/>
        <w:rPr>
          <w:rFonts w:asciiTheme="majorBidi" w:hAnsiTheme="majorBidi" w:cstheme="majorBidi"/>
          <w:noProof/>
          <w:color w:val="000000" w:themeColor="text1"/>
          <w:sz w:val="20"/>
          <w:szCs w:val="20"/>
        </w:rPr>
      </w:pPr>
      <w:r w:rsidRPr="00835624">
        <w:rPr>
          <w:rFonts w:asciiTheme="majorBidi" w:hAnsiTheme="majorBidi" w:cstheme="majorBidi"/>
          <w:noProof/>
          <w:sz w:val="20"/>
          <w:szCs w:val="20"/>
        </w:rPr>
        <w:t>Heidarpour, H</w:t>
      </w:r>
      <w:r w:rsidR="00A007FF">
        <w:rPr>
          <w:rFonts w:asciiTheme="majorBidi" w:hAnsiTheme="majorBidi" w:cstheme="majorBidi"/>
          <w:noProof/>
          <w:sz w:val="20"/>
          <w:szCs w:val="20"/>
        </w:rPr>
        <w:t>.;</w:t>
      </w:r>
      <w:r w:rsidRPr="00835624">
        <w:rPr>
          <w:rFonts w:asciiTheme="majorBidi" w:hAnsiTheme="majorBidi" w:cstheme="majorBidi"/>
          <w:noProof/>
          <w:sz w:val="20"/>
          <w:szCs w:val="20"/>
        </w:rPr>
        <w:t xml:space="preserve"> Hooshmand, F</w:t>
      </w:r>
      <w:r w:rsidR="00A007FF">
        <w:rPr>
          <w:rFonts w:asciiTheme="majorBidi" w:hAnsiTheme="majorBidi" w:cstheme="majorBidi"/>
          <w:noProof/>
          <w:sz w:val="20"/>
          <w:szCs w:val="20"/>
        </w:rPr>
        <w:t>.;</w:t>
      </w:r>
      <w:r w:rsidRPr="00835624">
        <w:rPr>
          <w:rFonts w:asciiTheme="majorBidi" w:hAnsiTheme="majorBidi" w:cstheme="majorBidi"/>
          <w:noProof/>
          <w:sz w:val="20"/>
          <w:szCs w:val="20"/>
        </w:rPr>
        <w:t xml:space="preserve"> Isapanah Amlashi, F</w:t>
      </w:r>
      <w:r w:rsidR="00A007FF">
        <w:rPr>
          <w:rFonts w:asciiTheme="majorBidi" w:hAnsiTheme="majorBidi" w:cstheme="majorBidi"/>
          <w:noProof/>
          <w:sz w:val="20"/>
          <w:szCs w:val="20"/>
        </w:rPr>
        <w:t>.;</w:t>
      </w:r>
      <w:r w:rsidRPr="00835624">
        <w:rPr>
          <w:rFonts w:asciiTheme="majorBidi" w:hAnsiTheme="majorBidi" w:cstheme="majorBidi"/>
          <w:noProof/>
          <w:sz w:val="20"/>
          <w:szCs w:val="20"/>
        </w:rPr>
        <w:t xml:space="preserve"> Khodabakhshi, B</w:t>
      </w:r>
      <w:r w:rsidR="00A007FF">
        <w:rPr>
          <w:rFonts w:asciiTheme="majorBidi" w:hAnsiTheme="majorBidi" w:cstheme="majorBidi"/>
          <w:noProof/>
          <w:sz w:val="20"/>
          <w:szCs w:val="20"/>
        </w:rPr>
        <w:t>.;</w:t>
      </w:r>
      <w:r w:rsidRPr="00835624">
        <w:rPr>
          <w:rFonts w:asciiTheme="majorBidi" w:hAnsiTheme="majorBidi" w:cstheme="majorBidi"/>
          <w:noProof/>
          <w:sz w:val="20"/>
          <w:szCs w:val="20"/>
        </w:rPr>
        <w:t xml:space="preserve"> Mahmoudi, M</w:t>
      </w:r>
      <w:r w:rsidR="00A007FF">
        <w:rPr>
          <w:rFonts w:asciiTheme="majorBidi" w:hAnsiTheme="majorBidi" w:cstheme="majorBidi"/>
          <w:noProof/>
          <w:sz w:val="20"/>
          <w:szCs w:val="20"/>
        </w:rPr>
        <w:t>.;</w:t>
      </w:r>
      <w:r w:rsidRPr="00835624">
        <w:rPr>
          <w:rFonts w:asciiTheme="majorBidi" w:hAnsiTheme="majorBidi" w:cstheme="majorBidi"/>
          <w:noProof/>
          <w:sz w:val="20"/>
          <w:szCs w:val="20"/>
        </w:rPr>
        <w:t xml:space="preserve"> Amiriani, T</w:t>
      </w:r>
      <w:r w:rsidR="000B24AB">
        <w:rPr>
          <w:rFonts w:asciiTheme="majorBidi" w:hAnsiTheme="majorBidi" w:cstheme="majorBidi"/>
          <w:noProof/>
          <w:sz w:val="20"/>
          <w:szCs w:val="20"/>
        </w:rPr>
        <w:t>.</w:t>
      </w:r>
      <w:r w:rsidR="00A007FF">
        <w:rPr>
          <w:rFonts w:asciiTheme="majorBidi" w:hAnsiTheme="majorBidi" w:cstheme="majorBidi"/>
          <w:noProof/>
          <w:sz w:val="20"/>
          <w:szCs w:val="20"/>
        </w:rPr>
        <w:t xml:space="preserve">, </w:t>
      </w:r>
      <w:r w:rsidR="00A007FF">
        <w:rPr>
          <w:rFonts w:asciiTheme="majorBidi" w:hAnsiTheme="majorBidi" w:cstheme="majorBidi"/>
          <w:i/>
          <w:iCs/>
          <w:noProof/>
          <w:sz w:val="20"/>
          <w:szCs w:val="20"/>
        </w:rPr>
        <w:t>et al</w:t>
      </w:r>
      <w:r w:rsidRPr="00835624">
        <w:rPr>
          <w:rFonts w:asciiTheme="majorBidi" w:hAnsiTheme="majorBidi" w:cstheme="majorBidi"/>
          <w:noProof/>
          <w:sz w:val="20"/>
          <w:szCs w:val="20"/>
        </w:rPr>
        <w:t xml:space="preserve">. (2023). Unexpected high frequency of anti-thyroid </w:t>
      </w:r>
      <w:r w:rsidRPr="00C6335B">
        <w:rPr>
          <w:rFonts w:asciiTheme="majorBidi" w:hAnsiTheme="majorBidi" w:cstheme="majorBidi"/>
          <w:noProof/>
          <w:color w:val="000000" w:themeColor="text1"/>
          <w:sz w:val="20"/>
          <w:szCs w:val="20"/>
        </w:rPr>
        <w:t xml:space="preserve">peroxidase (anti-TPO) antibodies in  Golestan province, Iran. </w:t>
      </w:r>
      <w:r w:rsidRPr="00C6335B">
        <w:rPr>
          <w:rFonts w:asciiTheme="majorBidi" w:hAnsiTheme="majorBidi" w:cstheme="majorBidi"/>
          <w:i/>
          <w:iCs/>
          <w:noProof/>
          <w:color w:val="000000" w:themeColor="text1"/>
          <w:sz w:val="20"/>
          <w:szCs w:val="20"/>
        </w:rPr>
        <w:t>Caspian Journal of Internal Medicine</w:t>
      </w:r>
      <w:r w:rsidRPr="00C6335B">
        <w:rPr>
          <w:rFonts w:asciiTheme="majorBidi" w:hAnsiTheme="majorBidi" w:cstheme="majorBidi"/>
          <w:noProof/>
          <w:color w:val="000000" w:themeColor="text1"/>
          <w:sz w:val="20"/>
          <w:szCs w:val="20"/>
        </w:rPr>
        <w:t xml:space="preserve">, </w:t>
      </w:r>
      <w:r w:rsidRPr="00C6335B">
        <w:rPr>
          <w:rFonts w:asciiTheme="majorBidi" w:hAnsiTheme="majorBidi" w:cstheme="majorBidi"/>
          <w:i/>
          <w:iCs/>
          <w:noProof/>
          <w:color w:val="000000" w:themeColor="text1"/>
          <w:sz w:val="20"/>
          <w:szCs w:val="20"/>
        </w:rPr>
        <w:t>14</w:t>
      </w:r>
      <w:r w:rsidRPr="00C6335B">
        <w:rPr>
          <w:rFonts w:asciiTheme="majorBidi" w:hAnsiTheme="majorBidi" w:cstheme="majorBidi"/>
          <w:noProof/>
          <w:color w:val="000000" w:themeColor="text1"/>
          <w:sz w:val="20"/>
          <w:szCs w:val="20"/>
        </w:rPr>
        <w:t xml:space="preserve">(2), 371–375. </w:t>
      </w:r>
    </w:p>
    <w:p w14:paraId="6CE921A8" w14:textId="24141E7F" w:rsidR="00CB0515" w:rsidRPr="00C6335B" w:rsidRDefault="00CB0515" w:rsidP="00A007FF">
      <w:pPr>
        <w:pStyle w:val="ListParagraph"/>
        <w:widowControl w:val="0"/>
        <w:numPr>
          <w:ilvl w:val="0"/>
          <w:numId w:val="3"/>
        </w:numPr>
        <w:autoSpaceDE w:val="0"/>
        <w:autoSpaceDN w:val="0"/>
        <w:adjustRightInd w:val="0"/>
        <w:spacing w:after="0" w:line="240" w:lineRule="auto"/>
        <w:ind w:left="426"/>
        <w:jc w:val="both"/>
        <w:rPr>
          <w:rFonts w:asciiTheme="majorBidi" w:hAnsiTheme="majorBidi" w:cstheme="majorBidi"/>
          <w:noProof/>
          <w:color w:val="000000" w:themeColor="text1"/>
          <w:sz w:val="20"/>
          <w:szCs w:val="20"/>
        </w:rPr>
      </w:pPr>
      <w:r w:rsidRPr="00C6335B">
        <w:rPr>
          <w:rFonts w:asciiTheme="majorBidi" w:hAnsiTheme="majorBidi" w:cstheme="majorBidi"/>
          <w:noProof/>
          <w:color w:val="000000" w:themeColor="text1"/>
          <w:sz w:val="20"/>
          <w:szCs w:val="20"/>
        </w:rPr>
        <w:t>Fröhlich, E., &amp; Wahl, R. (2017). Thyroid Autoimmunity: Role of Anti-thyroid Antibodies in Thyroid and Extra-Thyroidal Diseases. Frontiers in immunology, 8, 521.</w:t>
      </w:r>
    </w:p>
    <w:p w14:paraId="6A20243C" w14:textId="1C8F1F4F" w:rsidR="007D707B" w:rsidRPr="00C6335B" w:rsidRDefault="007D707B" w:rsidP="00A007FF">
      <w:pPr>
        <w:pStyle w:val="ListParagraph"/>
        <w:widowControl w:val="0"/>
        <w:numPr>
          <w:ilvl w:val="0"/>
          <w:numId w:val="3"/>
        </w:numPr>
        <w:autoSpaceDE w:val="0"/>
        <w:autoSpaceDN w:val="0"/>
        <w:adjustRightInd w:val="0"/>
        <w:spacing w:after="0" w:line="240" w:lineRule="auto"/>
        <w:ind w:left="426"/>
        <w:jc w:val="both"/>
        <w:rPr>
          <w:rFonts w:asciiTheme="majorBidi" w:hAnsiTheme="majorBidi" w:cstheme="majorBidi"/>
          <w:noProof/>
          <w:color w:val="000000" w:themeColor="text1"/>
          <w:sz w:val="20"/>
          <w:szCs w:val="20"/>
        </w:rPr>
      </w:pPr>
      <w:r w:rsidRPr="00C6335B">
        <w:rPr>
          <w:rFonts w:asciiTheme="majorBidi" w:hAnsiTheme="majorBidi" w:cstheme="majorBidi"/>
          <w:noProof/>
          <w:color w:val="000000" w:themeColor="text1"/>
          <w:sz w:val="20"/>
          <w:szCs w:val="20"/>
        </w:rPr>
        <w:t>Tripolino, O., Mirabelli, M., Misiti, R., Torchia, A., Casella, D., Dragone, F., Chiefari, E., Greco, M., Brunetti, A., &amp; Foti, D. P. (2024). Circulating Autoantibodies in Adults with Hashimoto’s Thyroiditis: New Insights from a Single-Center, Cross-Sectional Study. </w:t>
      </w:r>
      <w:r w:rsidRPr="00C6335B">
        <w:rPr>
          <w:rFonts w:asciiTheme="majorBidi" w:hAnsiTheme="majorBidi" w:cstheme="majorBidi"/>
          <w:i/>
          <w:iCs/>
          <w:noProof/>
          <w:color w:val="000000" w:themeColor="text1"/>
          <w:sz w:val="20"/>
          <w:szCs w:val="20"/>
        </w:rPr>
        <w:t>Diagnostics</w:t>
      </w:r>
      <w:r w:rsidRPr="00C6335B">
        <w:rPr>
          <w:rFonts w:asciiTheme="majorBidi" w:hAnsiTheme="majorBidi" w:cstheme="majorBidi"/>
          <w:noProof/>
          <w:color w:val="000000" w:themeColor="text1"/>
          <w:sz w:val="20"/>
          <w:szCs w:val="20"/>
        </w:rPr>
        <w:t>, </w:t>
      </w:r>
      <w:r w:rsidRPr="00C6335B">
        <w:rPr>
          <w:rFonts w:asciiTheme="majorBidi" w:hAnsiTheme="majorBidi" w:cstheme="majorBidi"/>
          <w:i/>
          <w:iCs/>
          <w:noProof/>
          <w:color w:val="000000" w:themeColor="text1"/>
          <w:sz w:val="20"/>
          <w:szCs w:val="20"/>
        </w:rPr>
        <w:t>14</w:t>
      </w:r>
      <w:r w:rsidRPr="00C6335B">
        <w:rPr>
          <w:rFonts w:asciiTheme="majorBidi" w:hAnsiTheme="majorBidi" w:cstheme="majorBidi"/>
          <w:noProof/>
          <w:color w:val="000000" w:themeColor="text1"/>
          <w:sz w:val="20"/>
          <w:szCs w:val="20"/>
        </w:rPr>
        <w:t>(21), 2450.</w:t>
      </w:r>
    </w:p>
    <w:p w14:paraId="4408B898" w14:textId="24141E7F" w:rsidR="00C11964" w:rsidRPr="00C6335B" w:rsidRDefault="00C11964" w:rsidP="00C11964">
      <w:pPr>
        <w:pStyle w:val="ListParagraph"/>
        <w:widowControl w:val="0"/>
        <w:numPr>
          <w:ilvl w:val="0"/>
          <w:numId w:val="3"/>
        </w:numPr>
        <w:autoSpaceDE w:val="0"/>
        <w:autoSpaceDN w:val="0"/>
        <w:adjustRightInd w:val="0"/>
        <w:spacing w:after="0" w:line="240" w:lineRule="auto"/>
        <w:ind w:left="426"/>
        <w:jc w:val="both"/>
        <w:rPr>
          <w:rFonts w:asciiTheme="majorBidi" w:hAnsiTheme="majorBidi" w:cstheme="majorBidi"/>
          <w:noProof/>
          <w:color w:val="000000" w:themeColor="text1"/>
          <w:sz w:val="20"/>
          <w:szCs w:val="20"/>
        </w:rPr>
      </w:pPr>
      <w:r w:rsidRPr="00C6335B">
        <w:rPr>
          <w:rFonts w:asciiTheme="majorBidi" w:hAnsiTheme="majorBidi" w:cstheme="majorBidi"/>
          <w:noProof/>
          <w:color w:val="000000" w:themeColor="text1"/>
          <w:sz w:val="20"/>
          <w:szCs w:val="20"/>
        </w:rPr>
        <w:t>Karanikas, G., Schuetz, M., Wahl, K., Paul, M., Kontur, S., Pietschmann, P., Kletter, K., Dudczak, R., &amp; Willheim, M. (2005). Relation of anti-TPO autoantibody titre and T-lymphocyte cytokine production patterns in Hashimoto's thyroiditis. </w:t>
      </w:r>
      <w:r w:rsidRPr="00C6335B">
        <w:rPr>
          <w:rFonts w:asciiTheme="majorBidi" w:hAnsiTheme="majorBidi" w:cstheme="majorBidi"/>
          <w:i/>
          <w:iCs/>
          <w:noProof/>
          <w:color w:val="000000" w:themeColor="text1"/>
          <w:sz w:val="20"/>
          <w:szCs w:val="20"/>
        </w:rPr>
        <w:t>Clinical endocrinology</w:t>
      </w:r>
      <w:r w:rsidRPr="00C6335B">
        <w:rPr>
          <w:rFonts w:asciiTheme="majorBidi" w:hAnsiTheme="majorBidi" w:cstheme="majorBidi"/>
          <w:noProof/>
          <w:color w:val="000000" w:themeColor="text1"/>
          <w:sz w:val="20"/>
          <w:szCs w:val="20"/>
        </w:rPr>
        <w:t xml:space="preserve">, 63(2), 191–196. </w:t>
      </w:r>
    </w:p>
    <w:p w14:paraId="4D157CA9" w14:textId="59D47585" w:rsidR="009E7326" w:rsidRPr="00835624" w:rsidRDefault="009E7326" w:rsidP="00A007FF">
      <w:pPr>
        <w:pStyle w:val="ListParagraph"/>
        <w:widowControl w:val="0"/>
        <w:numPr>
          <w:ilvl w:val="0"/>
          <w:numId w:val="3"/>
        </w:numPr>
        <w:autoSpaceDE w:val="0"/>
        <w:autoSpaceDN w:val="0"/>
        <w:adjustRightInd w:val="0"/>
        <w:spacing w:after="0" w:line="240" w:lineRule="auto"/>
        <w:ind w:left="426"/>
        <w:jc w:val="both"/>
        <w:rPr>
          <w:rFonts w:asciiTheme="majorBidi" w:hAnsiTheme="majorBidi" w:cstheme="majorBidi"/>
          <w:noProof/>
          <w:sz w:val="20"/>
          <w:szCs w:val="20"/>
        </w:rPr>
      </w:pPr>
      <w:r w:rsidRPr="00C6335B">
        <w:rPr>
          <w:rFonts w:asciiTheme="majorBidi" w:hAnsiTheme="majorBidi" w:cstheme="majorBidi"/>
          <w:noProof/>
          <w:color w:val="000000" w:themeColor="text1"/>
          <w:sz w:val="20"/>
          <w:szCs w:val="20"/>
        </w:rPr>
        <w:t>Zha, B</w:t>
      </w:r>
      <w:r w:rsidR="00A007FF">
        <w:rPr>
          <w:rFonts w:asciiTheme="majorBidi" w:hAnsiTheme="majorBidi" w:cstheme="majorBidi"/>
          <w:noProof/>
          <w:sz w:val="20"/>
          <w:szCs w:val="20"/>
        </w:rPr>
        <w:t>.;</w:t>
      </w:r>
      <w:r w:rsidRPr="00835624">
        <w:rPr>
          <w:rFonts w:asciiTheme="majorBidi" w:hAnsiTheme="majorBidi" w:cstheme="majorBidi"/>
          <w:noProof/>
          <w:sz w:val="20"/>
          <w:szCs w:val="20"/>
        </w:rPr>
        <w:t xml:space="preserve"> Wang, L</w:t>
      </w:r>
      <w:r w:rsidR="00A007FF">
        <w:rPr>
          <w:rFonts w:asciiTheme="majorBidi" w:hAnsiTheme="majorBidi" w:cstheme="majorBidi"/>
          <w:noProof/>
          <w:sz w:val="20"/>
          <w:szCs w:val="20"/>
        </w:rPr>
        <w:t>.;</w:t>
      </w:r>
      <w:r w:rsidRPr="00835624">
        <w:rPr>
          <w:rFonts w:asciiTheme="majorBidi" w:hAnsiTheme="majorBidi" w:cstheme="majorBidi"/>
          <w:noProof/>
          <w:sz w:val="20"/>
          <w:szCs w:val="20"/>
        </w:rPr>
        <w:t xml:space="preserve"> Liu, X</w:t>
      </w:r>
      <w:r w:rsidR="00A007FF">
        <w:rPr>
          <w:rFonts w:asciiTheme="majorBidi" w:hAnsiTheme="majorBidi" w:cstheme="majorBidi"/>
          <w:noProof/>
          <w:sz w:val="20"/>
          <w:szCs w:val="20"/>
        </w:rPr>
        <w:t>.;</w:t>
      </w:r>
      <w:r w:rsidRPr="00835624">
        <w:rPr>
          <w:rFonts w:asciiTheme="majorBidi" w:hAnsiTheme="majorBidi" w:cstheme="majorBidi"/>
          <w:noProof/>
          <w:sz w:val="20"/>
          <w:szCs w:val="20"/>
        </w:rPr>
        <w:t xml:space="preserve"> Liu, J</w:t>
      </w:r>
      <w:r w:rsidR="00A007FF">
        <w:rPr>
          <w:rFonts w:asciiTheme="majorBidi" w:hAnsiTheme="majorBidi" w:cstheme="majorBidi"/>
          <w:noProof/>
          <w:sz w:val="20"/>
          <w:szCs w:val="20"/>
        </w:rPr>
        <w:t>.;</w:t>
      </w:r>
      <w:r w:rsidRPr="00835624">
        <w:rPr>
          <w:rFonts w:asciiTheme="majorBidi" w:hAnsiTheme="majorBidi" w:cstheme="majorBidi"/>
          <w:noProof/>
          <w:sz w:val="20"/>
          <w:szCs w:val="20"/>
        </w:rPr>
        <w:t xml:space="preserve"> Chen, Z</w:t>
      </w:r>
      <w:r w:rsidR="00A007FF">
        <w:rPr>
          <w:rFonts w:asciiTheme="majorBidi" w:hAnsiTheme="majorBidi" w:cstheme="majorBidi"/>
          <w:noProof/>
          <w:sz w:val="20"/>
          <w:szCs w:val="20"/>
        </w:rPr>
        <w:t>.;</w:t>
      </w:r>
      <w:r w:rsidRPr="00835624">
        <w:rPr>
          <w:rFonts w:asciiTheme="majorBidi" w:hAnsiTheme="majorBidi" w:cstheme="majorBidi"/>
          <w:noProof/>
          <w:sz w:val="20"/>
          <w:szCs w:val="20"/>
        </w:rPr>
        <w:t xml:space="preserve"> Xu, J., </w:t>
      </w:r>
      <w:r w:rsidR="00A007FF">
        <w:rPr>
          <w:rFonts w:asciiTheme="majorBidi" w:hAnsiTheme="majorBidi" w:cstheme="majorBidi"/>
          <w:i/>
          <w:iCs/>
          <w:noProof/>
          <w:sz w:val="20"/>
          <w:szCs w:val="20"/>
        </w:rPr>
        <w:t>et al</w:t>
      </w:r>
      <w:r w:rsidRPr="00835624">
        <w:rPr>
          <w:rFonts w:asciiTheme="majorBidi" w:hAnsiTheme="majorBidi" w:cstheme="majorBidi"/>
          <w:noProof/>
          <w:sz w:val="20"/>
          <w:szCs w:val="20"/>
        </w:rPr>
        <w:t xml:space="preserve">. (2012). Decrease in proportion of CD19+ CD24(hi) CD27+ B cells and impairment of their  suppressive function in Graves’ disease. </w:t>
      </w:r>
      <w:r w:rsidRPr="00835624">
        <w:rPr>
          <w:rFonts w:asciiTheme="majorBidi" w:hAnsiTheme="majorBidi" w:cstheme="majorBidi"/>
          <w:i/>
          <w:iCs/>
          <w:noProof/>
          <w:sz w:val="20"/>
          <w:szCs w:val="20"/>
        </w:rPr>
        <w:t>PloS One</w:t>
      </w:r>
      <w:r w:rsidRPr="00835624">
        <w:rPr>
          <w:rFonts w:asciiTheme="majorBidi" w:hAnsiTheme="majorBidi" w:cstheme="majorBidi"/>
          <w:noProof/>
          <w:sz w:val="20"/>
          <w:szCs w:val="20"/>
        </w:rPr>
        <w:t xml:space="preserve">, </w:t>
      </w:r>
      <w:r w:rsidRPr="00835624">
        <w:rPr>
          <w:rFonts w:asciiTheme="majorBidi" w:hAnsiTheme="majorBidi" w:cstheme="majorBidi"/>
          <w:i/>
          <w:iCs/>
          <w:noProof/>
          <w:sz w:val="20"/>
          <w:szCs w:val="20"/>
        </w:rPr>
        <w:t>7</w:t>
      </w:r>
      <w:r w:rsidRPr="00835624">
        <w:rPr>
          <w:rFonts w:asciiTheme="majorBidi" w:hAnsiTheme="majorBidi" w:cstheme="majorBidi"/>
          <w:noProof/>
          <w:sz w:val="20"/>
          <w:szCs w:val="20"/>
        </w:rPr>
        <w:t xml:space="preserve">(11), e49835. </w:t>
      </w:r>
    </w:p>
    <w:p w14:paraId="4C5C4A77" w14:textId="4ED4DEFE" w:rsidR="009E7326" w:rsidRPr="00835624" w:rsidRDefault="009E7326" w:rsidP="00835624">
      <w:pPr>
        <w:pStyle w:val="ListParagraph"/>
        <w:widowControl w:val="0"/>
        <w:numPr>
          <w:ilvl w:val="0"/>
          <w:numId w:val="3"/>
        </w:numPr>
        <w:autoSpaceDE w:val="0"/>
        <w:autoSpaceDN w:val="0"/>
        <w:adjustRightInd w:val="0"/>
        <w:spacing w:after="0" w:line="240" w:lineRule="auto"/>
        <w:ind w:left="426"/>
        <w:jc w:val="both"/>
        <w:rPr>
          <w:rFonts w:asciiTheme="majorBidi" w:hAnsiTheme="majorBidi" w:cstheme="majorBidi"/>
          <w:noProof/>
          <w:sz w:val="20"/>
          <w:szCs w:val="20"/>
        </w:rPr>
      </w:pPr>
      <w:r w:rsidRPr="00835624">
        <w:rPr>
          <w:rFonts w:asciiTheme="majorBidi" w:hAnsiTheme="majorBidi" w:cstheme="majorBidi"/>
          <w:noProof/>
          <w:sz w:val="20"/>
          <w:szCs w:val="20"/>
        </w:rPr>
        <w:t>Ouyang, W</w:t>
      </w:r>
      <w:r w:rsidR="00A007FF">
        <w:rPr>
          <w:rFonts w:asciiTheme="majorBidi" w:hAnsiTheme="majorBidi" w:cstheme="majorBidi"/>
          <w:noProof/>
          <w:sz w:val="20"/>
          <w:szCs w:val="20"/>
        </w:rPr>
        <w:t>.;</w:t>
      </w:r>
      <w:r w:rsidRPr="00835624">
        <w:rPr>
          <w:rFonts w:asciiTheme="majorBidi" w:hAnsiTheme="majorBidi" w:cstheme="majorBidi"/>
          <w:noProof/>
          <w:sz w:val="20"/>
          <w:szCs w:val="20"/>
        </w:rPr>
        <w:t xml:space="preserve"> Rutz, S</w:t>
      </w:r>
      <w:r w:rsidR="00A007FF">
        <w:rPr>
          <w:rFonts w:asciiTheme="majorBidi" w:hAnsiTheme="majorBidi" w:cstheme="majorBidi"/>
          <w:noProof/>
          <w:sz w:val="20"/>
          <w:szCs w:val="20"/>
        </w:rPr>
        <w:t>.;</w:t>
      </w:r>
      <w:r w:rsidRPr="00835624">
        <w:rPr>
          <w:rFonts w:asciiTheme="majorBidi" w:hAnsiTheme="majorBidi" w:cstheme="majorBidi"/>
          <w:noProof/>
          <w:sz w:val="20"/>
          <w:szCs w:val="20"/>
        </w:rPr>
        <w:t xml:space="preserve"> Crellin, N. K</w:t>
      </w:r>
      <w:r w:rsidR="00A007FF">
        <w:rPr>
          <w:rFonts w:asciiTheme="majorBidi" w:hAnsiTheme="majorBidi" w:cstheme="majorBidi"/>
          <w:noProof/>
          <w:sz w:val="20"/>
          <w:szCs w:val="20"/>
        </w:rPr>
        <w:t>.;</w:t>
      </w:r>
      <w:r w:rsidRPr="00835624">
        <w:rPr>
          <w:rFonts w:asciiTheme="majorBidi" w:hAnsiTheme="majorBidi" w:cstheme="majorBidi"/>
          <w:noProof/>
          <w:sz w:val="20"/>
          <w:szCs w:val="20"/>
        </w:rPr>
        <w:t xml:space="preserve"> Valdez, P. A</w:t>
      </w:r>
      <w:r w:rsidR="000B24AB">
        <w:rPr>
          <w:rFonts w:asciiTheme="majorBidi" w:hAnsiTheme="majorBidi" w:cstheme="majorBidi"/>
          <w:noProof/>
          <w:sz w:val="20"/>
          <w:szCs w:val="20"/>
        </w:rPr>
        <w:t>. and</w:t>
      </w:r>
      <w:r w:rsidRPr="00835624">
        <w:rPr>
          <w:rFonts w:asciiTheme="majorBidi" w:hAnsiTheme="majorBidi" w:cstheme="majorBidi"/>
          <w:noProof/>
          <w:sz w:val="20"/>
          <w:szCs w:val="20"/>
        </w:rPr>
        <w:t xml:space="preserve"> Hymowitz, S. G. (2011). Regulation and functions of the IL-10 family of cytokines in inflammation and disease. </w:t>
      </w:r>
      <w:r w:rsidRPr="00835624">
        <w:rPr>
          <w:rFonts w:asciiTheme="majorBidi" w:hAnsiTheme="majorBidi" w:cstheme="majorBidi"/>
          <w:i/>
          <w:iCs/>
          <w:noProof/>
          <w:sz w:val="20"/>
          <w:szCs w:val="20"/>
        </w:rPr>
        <w:t>Annual Review of Immunology</w:t>
      </w:r>
      <w:r w:rsidRPr="00835624">
        <w:rPr>
          <w:rFonts w:asciiTheme="majorBidi" w:hAnsiTheme="majorBidi" w:cstheme="majorBidi"/>
          <w:noProof/>
          <w:sz w:val="20"/>
          <w:szCs w:val="20"/>
        </w:rPr>
        <w:t xml:space="preserve">, </w:t>
      </w:r>
      <w:r w:rsidRPr="00835624">
        <w:rPr>
          <w:rFonts w:asciiTheme="majorBidi" w:hAnsiTheme="majorBidi" w:cstheme="majorBidi"/>
          <w:i/>
          <w:iCs/>
          <w:noProof/>
          <w:sz w:val="20"/>
          <w:szCs w:val="20"/>
        </w:rPr>
        <w:t>29</w:t>
      </w:r>
      <w:r w:rsidRPr="00835624">
        <w:rPr>
          <w:rFonts w:asciiTheme="majorBidi" w:hAnsiTheme="majorBidi" w:cstheme="majorBidi"/>
          <w:noProof/>
          <w:sz w:val="20"/>
          <w:szCs w:val="20"/>
        </w:rPr>
        <w:t>(1), 71–109.</w:t>
      </w:r>
    </w:p>
    <w:p w14:paraId="6B23BCDA" w14:textId="22CBE6DD" w:rsidR="00835624" w:rsidRDefault="009E7326" w:rsidP="00835624">
      <w:pPr>
        <w:pStyle w:val="ListParagraph"/>
        <w:widowControl w:val="0"/>
        <w:numPr>
          <w:ilvl w:val="0"/>
          <w:numId w:val="3"/>
        </w:numPr>
        <w:autoSpaceDE w:val="0"/>
        <w:autoSpaceDN w:val="0"/>
        <w:adjustRightInd w:val="0"/>
        <w:spacing w:after="0" w:line="240" w:lineRule="auto"/>
        <w:ind w:left="426"/>
        <w:jc w:val="both"/>
        <w:rPr>
          <w:rFonts w:asciiTheme="majorBidi" w:hAnsiTheme="majorBidi" w:cstheme="majorBidi"/>
          <w:noProof/>
          <w:sz w:val="20"/>
          <w:szCs w:val="20"/>
        </w:rPr>
      </w:pPr>
      <w:r w:rsidRPr="00835624">
        <w:rPr>
          <w:rFonts w:asciiTheme="majorBidi" w:hAnsiTheme="majorBidi" w:cstheme="majorBidi"/>
          <w:noProof/>
          <w:sz w:val="20"/>
          <w:szCs w:val="20"/>
        </w:rPr>
        <w:t>Alyaqubi, K. J</w:t>
      </w:r>
      <w:r w:rsidR="00A007FF">
        <w:rPr>
          <w:rFonts w:asciiTheme="majorBidi" w:hAnsiTheme="majorBidi" w:cstheme="majorBidi"/>
          <w:noProof/>
          <w:sz w:val="20"/>
          <w:szCs w:val="20"/>
        </w:rPr>
        <w:t>.;</w:t>
      </w:r>
      <w:r w:rsidRPr="00835624">
        <w:rPr>
          <w:rFonts w:asciiTheme="majorBidi" w:hAnsiTheme="majorBidi" w:cstheme="majorBidi"/>
          <w:noProof/>
          <w:sz w:val="20"/>
          <w:szCs w:val="20"/>
        </w:rPr>
        <w:t xml:space="preserve"> AL-kaabi, A. J</w:t>
      </w:r>
      <w:r w:rsidR="000B24AB">
        <w:rPr>
          <w:rFonts w:asciiTheme="majorBidi" w:hAnsiTheme="majorBidi" w:cstheme="majorBidi"/>
          <w:noProof/>
          <w:sz w:val="20"/>
          <w:szCs w:val="20"/>
        </w:rPr>
        <w:t>. and</w:t>
      </w:r>
      <w:r w:rsidRPr="00835624">
        <w:rPr>
          <w:rFonts w:asciiTheme="majorBidi" w:hAnsiTheme="majorBidi" w:cstheme="majorBidi"/>
          <w:noProof/>
          <w:sz w:val="20"/>
          <w:szCs w:val="20"/>
        </w:rPr>
        <w:t xml:space="preserve"> AL-kaabi, S. J. (2016). Plasma IL-10 Concentration and its role in the pathogenesis of acute myeloid Leukemia: A prospective study. </w:t>
      </w:r>
      <w:r w:rsidRPr="00835624">
        <w:rPr>
          <w:rFonts w:asciiTheme="majorBidi" w:hAnsiTheme="majorBidi" w:cstheme="majorBidi"/>
          <w:i/>
          <w:iCs/>
          <w:noProof/>
          <w:sz w:val="20"/>
          <w:szCs w:val="20"/>
        </w:rPr>
        <w:t>Iraqi Journal of Biotechnology</w:t>
      </w:r>
      <w:r w:rsidRPr="00835624">
        <w:rPr>
          <w:rFonts w:asciiTheme="majorBidi" w:hAnsiTheme="majorBidi" w:cstheme="majorBidi"/>
          <w:noProof/>
          <w:sz w:val="20"/>
          <w:szCs w:val="20"/>
        </w:rPr>
        <w:t xml:space="preserve">, </w:t>
      </w:r>
      <w:r w:rsidRPr="00835624">
        <w:rPr>
          <w:rFonts w:asciiTheme="majorBidi" w:hAnsiTheme="majorBidi" w:cstheme="majorBidi"/>
          <w:i/>
          <w:iCs/>
          <w:noProof/>
          <w:sz w:val="20"/>
          <w:szCs w:val="20"/>
        </w:rPr>
        <w:t>15</w:t>
      </w:r>
      <w:r w:rsidRPr="00835624">
        <w:rPr>
          <w:rFonts w:asciiTheme="majorBidi" w:hAnsiTheme="majorBidi" w:cstheme="majorBidi"/>
          <w:noProof/>
          <w:sz w:val="20"/>
          <w:szCs w:val="20"/>
        </w:rPr>
        <w:t>(1).</w:t>
      </w:r>
    </w:p>
    <w:p w14:paraId="5385EBD6" w14:textId="38C7B4A9" w:rsidR="009E7326" w:rsidRPr="00835624" w:rsidRDefault="009E7326" w:rsidP="00835624">
      <w:pPr>
        <w:pStyle w:val="ListParagraph"/>
        <w:widowControl w:val="0"/>
        <w:numPr>
          <w:ilvl w:val="0"/>
          <w:numId w:val="3"/>
        </w:numPr>
        <w:autoSpaceDE w:val="0"/>
        <w:autoSpaceDN w:val="0"/>
        <w:adjustRightInd w:val="0"/>
        <w:spacing w:after="0" w:line="240" w:lineRule="auto"/>
        <w:ind w:left="426"/>
        <w:jc w:val="both"/>
        <w:rPr>
          <w:rFonts w:asciiTheme="majorBidi" w:hAnsiTheme="majorBidi" w:cstheme="majorBidi"/>
          <w:noProof/>
          <w:sz w:val="20"/>
          <w:szCs w:val="20"/>
        </w:rPr>
      </w:pPr>
      <w:r w:rsidRPr="00835624">
        <w:rPr>
          <w:rFonts w:asciiTheme="majorBidi" w:hAnsiTheme="majorBidi" w:cstheme="majorBidi"/>
          <w:noProof/>
          <w:sz w:val="20"/>
          <w:szCs w:val="20"/>
        </w:rPr>
        <w:t>AL-Kaabi, Z. I</w:t>
      </w:r>
      <w:r w:rsidR="00A007FF">
        <w:rPr>
          <w:rFonts w:asciiTheme="majorBidi" w:hAnsiTheme="majorBidi" w:cstheme="majorBidi"/>
          <w:noProof/>
          <w:sz w:val="20"/>
          <w:szCs w:val="20"/>
        </w:rPr>
        <w:t>.;</w:t>
      </w:r>
      <w:r w:rsidRPr="00835624">
        <w:rPr>
          <w:rFonts w:asciiTheme="majorBidi" w:hAnsiTheme="majorBidi" w:cstheme="majorBidi"/>
          <w:noProof/>
          <w:sz w:val="20"/>
          <w:szCs w:val="20"/>
        </w:rPr>
        <w:t xml:space="preserve"> Mohammad, N. A</w:t>
      </w:r>
      <w:r w:rsidR="000B24AB">
        <w:rPr>
          <w:rFonts w:asciiTheme="majorBidi" w:hAnsiTheme="majorBidi" w:cstheme="majorBidi"/>
          <w:noProof/>
          <w:sz w:val="20"/>
          <w:szCs w:val="20"/>
        </w:rPr>
        <w:t>. and</w:t>
      </w:r>
      <w:r w:rsidRPr="00835624">
        <w:rPr>
          <w:rFonts w:asciiTheme="majorBidi" w:hAnsiTheme="majorBidi" w:cstheme="majorBidi"/>
          <w:noProof/>
          <w:sz w:val="20"/>
          <w:szCs w:val="20"/>
        </w:rPr>
        <w:t xml:space="preserve"> AL-Ansari, A. B. (2015). Circulating Human IL-10-Secreting Regulatory B Cells in Acute and Chronic Ischemic Heart Disease. </w:t>
      </w:r>
      <w:r w:rsidRPr="00835624">
        <w:rPr>
          <w:rFonts w:asciiTheme="majorBidi" w:hAnsiTheme="majorBidi" w:cstheme="majorBidi"/>
          <w:i/>
          <w:iCs/>
          <w:noProof/>
          <w:sz w:val="20"/>
          <w:szCs w:val="20"/>
        </w:rPr>
        <w:t>Iraqi Journal of Biotechnology</w:t>
      </w:r>
      <w:r w:rsidRPr="00835624">
        <w:rPr>
          <w:rFonts w:asciiTheme="majorBidi" w:hAnsiTheme="majorBidi" w:cstheme="majorBidi"/>
          <w:noProof/>
          <w:sz w:val="20"/>
          <w:szCs w:val="20"/>
        </w:rPr>
        <w:t xml:space="preserve">, </w:t>
      </w:r>
      <w:r w:rsidRPr="00835624">
        <w:rPr>
          <w:rFonts w:asciiTheme="majorBidi" w:hAnsiTheme="majorBidi" w:cstheme="majorBidi"/>
          <w:i/>
          <w:iCs/>
          <w:noProof/>
          <w:sz w:val="20"/>
          <w:szCs w:val="20"/>
        </w:rPr>
        <w:t>14</w:t>
      </w:r>
      <w:r w:rsidRPr="00835624">
        <w:rPr>
          <w:rFonts w:asciiTheme="majorBidi" w:hAnsiTheme="majorBidi" w:cstheme="majorBidi"/>
          <w:noProof/>
          <w:sz w:val="20"/>
          <w:szCs w:val="20"/>
        </w:rPr>
        <w:t>(1).</w:t>
      </w:r>
    </w:p>
    <w:p w14:paraId="05243B67" w14:textId="77777777" w:rsidR="0061198D" w:rsidRDefault="009E7326" w:rsidP="00835624">
      <w:pPr>
        <w:widowControl w:val="0"/>
        <w:autoSpaceDE w:val="0"/>
        <w:autoSpaceDN w:val="0"/>
        <w:adjustRightInd w:val="0"/>
        <w:spacing w:after="0" w:line="240" w:lineRule="auto"/>
        <w:ind w:left="426" w:hanging="640"/>
        <w:jc w:val="both"/>
        <w:rPr>
          <w:rFonts w:asciiTheme="majorBidi" w:hAnsiTheme="majorBidi" w:cstheme="majorBidi"/>
          <w:sz w:val="24"/>
          <w:szCs w:val="24"/>
          <w:rtl/>
          <w:lang w:bidi="ar-IQ"/>
        </w:rPr>
        <w:sectPr w:rsidR="0061198D" w:rsidSect="0061198D">
          <w:type w:val="continuous"/>
          <w:pgSz w:w="11906" w:h="16838" w:code="9"/>
          <w:pgMar w:top="1701" w:right="1701" w:bottom="1701" w:left="1701" w:header="720" w:footer="720" w:gutter="0"/>
          <w:cols w:num="2" w:space="720"/>
          <w:titlePg/>
          <w:docGrid w:linePitch="360"/>
        </w:sectPr>
      </w:pPr>
      <w:r w:rsidRPr="00A23055">
        <w:rPr>
          <w:rFonts w:asciiTheme="majorBidi" w:hAnsiTheme="majorBidi" w:cstheme="majorBidi"/>
          <w:sz w:val="24"/>
          <w:szCs w:val="24"/>
          <w:rtl/>
          <w:lang w:bidi="ar-IQ"/>
        </w:rPr>
        <w:fldChar w:fldCharType="end"/>
      </w:r>
    </w:p>
    <w:p w14:paraId="53B54868" w14:textId="3F6447D3" w:rsidR="009E7326" w:rsidRPr="00A23055" w:rsidRDefault="009E7326" w:rsidP="00835624">
      <w:pPr>
        <w:widowControl w:val="0"/>
        <w:autoSpaceDE w:val="0"/>
        <w:autoSpaceDN w:val="0"/>
        <w:adjustRightInd w:val="0"/>
        <w:spacing w:after="0" w:line="240" w:lineRule="auto"/>
        <w:ind w:left="426" w:hanging="640"/>
        <w:jc w:val="both"/>
        <w:rPr>
          <w:rFonts w:asciiTheme="majorBidi" w:hAnsiTheme="majorBidi" w:cstheme="majorBidi"/>
          <w:noProof/>
          <w:sz w:val="24"/>
          <w:szCs w:val="24"/>
        </w:rPr>
      </w:pPr>
    </w:p>
    <w:p w14:paraId="6493C999" w14:textId="146FA218" w:rsidR="00961453" w:rsidRPr="00A23055" w:rsidRDefault="00961453" w:rsidP="00B90075">
      <w:pPr>
        <w:widowControl w:val="0"/>
        <w:autoSpaceDE w:val="0"/>
        <w:autoSpaceDN w:val="0"/>
        <w:adjustRightInd w:val="0"/>
        <w:spacing w:after="0" w:line="240" w:lineRule="auto"/>
        <w:ind w:hanging="480"/>
        <w:jc w:val="both"/>
        <w:rPr>
          <w:rFonts w:asciiTheme="majorBidi" w:hAnsiTheme="majorBidi" w:cstheme="majorBidi"/>
          <w:noProof/>
          <w:sz w:val="24"/>
          <w:szCs w:val="24"/>
        </w:rPr>
      </w:pPr>
    </w:p>
    <w:sectPr w:rsidR="00961453" w:rsidRPr="00A23055" w:rsidSect="009F0C04">
      <w:type w:val="continuous"/>
      <w:pgSz w:w="11906" w:h="16838" w:code="9"/>
      <w:pgMar w:top="1701" w:right="1701"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72CF9" w14:textId="77777777" w:rsidR="009F42B4" w:rsidRDefault="009F42B4" w:rsidP="00961453">
      <w:pPr>
        <w:spacing w:after="0" w:line="240" w:lineRule="auto"/>
      </w:pPr>
      <w:r>
        <w:separator/>
      </w:r>
    </w:p>
  </w:endnote>
  <w:endnote w:type="continuationSeparator" w:id="0">
    <w:p w14:paraId="2455D079" w14:textId="77777777" w:rsidR="009F42B4" w:rsidRDefault="009F42B4" w:rsidP="00961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Serif">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543697"/>
      <w:docPartObj>
        <w:docPartGallery w:val="Page Numbers (Bottom of Page)"/>
        <w:docPartUnique/>
      </w:docPartObj>
    </w:sdtPr>
    <w:sdtEndPr>
      <w:rPr>
        <w:noProof/>
      </w:rPr>
    </w:sdtEndPr>
    <w:sdtContent>
      <w:p w14:paraId="3A7435BA" w14:textId="5368D771" w:rsidR="007862AA" w:rsidRDefault="007862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CA90F4" w14:textId="77777777" w:rsidR="007862AA" w:rsidRDefault="00786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F3D4C" w14:textId="77777777" w:rsidR="009F42B4" w:rsidRDefault="009F42B4" w:rsidP="00961453">
      <w:pPr>
        <w:spacing w:after="0" w:line="240" w:lineRule="auto"/>
      </w:pPr>
      <w:r>
        <w:separator/>
      </w:r>
    </w:p>
  </w:footnote>
  <w:footnote w:type="continuationSeparator" w:id="0">
    <w:p w14:paraId="00FB75A2" w14:textId="77777777" w:rsidR="009F42B4" w:rsidRDefault="009F42B4" w:rsidP="00961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FA55" w14:textId="77777777" w:rsidR="001D54C7" w:rsidRPr="00C742D3" w:rsidRDefault="001D54C7" w:rsidP="001D54C7">
    <w:pPr>
      <w:widowControl w:val="0"/>
      <w:tabs>
        <w:tab w:val="center" w:pos="4153"/>
        <w:tab w:val="right" w:pos="8306"/>
      </w:tabs>
      <w:autoSpaceDE w:val="0"/>
      <w:autoSpaceDN w:val="0"/>
      <w:spacing w:after="0" w:line="240" w:lineRule="auto"/>
      <w:jc w:val="right"/>
      <w:rPr>
        <w:rFonts w:ascii="Times New Roman" w:eastAsia="Times New Roman" w:hAnsi="Times New Roman" w:cs="Times New Roman"/>
        <w:b/>
        <w:bCs/>
        <w:sz w:val="20"/>
        <w:szCs w:val="20"/>
        <w:lang w:eastAsia="ar-SA"/>
      </w:rPr>
    </w:pPr>
  </w:p>
  <w:p w14:paraId="16069732" w14:textId="135458CC" w:rsidR="001D54C7" w:rsidRPr="00C742D3" w:rsidRDefault="007862AA" w:rsidP="007862AA">
    <w:pPr>
      <w:widowControl w:val="0"/>
      <w:tabs>
        <w:tab w:val="center" w:pos="4153"/>
        <w:tab w:val="right" w:pos="8306"/>
      </w:tabs>
      <w:autoSpaceDE w:val="0"/>
      <w:autoSpaceDN w:val="0"/>
      <w:spacing w:after="0" w:line="240" w:lineRule="auto"/>
      <w:jc w:val="center"/>
      <w:rPr>
        <w:rFonts w:ascii="Times New Roman" w:eastAsia="Times New Roman" w:hAnsi="Times New Roman" w:cs="Times New Roman"/>
        <w:sz w:val="20"/>
        <w:szCs w:val="20"/>
        <w:lang w:eastAsia="ar-SA"/>
      </w:rPr>
    </w:pPr>
    <w:r w:rsidRPr="00C742D3">
      <w:rPr>
        <w:rFonts w:ascii="Times New Roman" w:eastAsia="Times New Roman" w:hAnsi="Times New Roman" w:cs="Times New Roman"/>
        <w:b/>
        <w:bCs/>
        <w:sz w:val="20"/>
        <w:szCs w:val="20"/>
        <w:lang w:eastAsia="ar-SA"/>
      </w:rPr>
      <w:t>Iraqi Journal of Biotechnology</w:t>
    </w:r>
  </w:p>
  <w:p w14:paraId="15E31D6D" w14:textId="77777777" w:rsidR="001D54C7" w:rsidRPr="00C742D3" w:rsidRDefault="001D54C7" w:rsidP="001D54C7">
    <w:pPr>
      <w:widowControl w:val="0"/>
      <w:tabs>
        <w:tab w:val="center" w:pos="4153"/>
        <w:tab w:val="right" w:pos="8306"/>
      </w:tabs>
      <w:autoSpaceDE w:val="0"/>
      <w:autoSpaceDN w:val="0"/>
      <w:spacing w:after="0" w:line="240" w:lineRule="auto"/>
      <w:rPr>
        <w:rFonts w:ascii="Times New Roman" w:eastAsia="Times New Roman" w:hAnsi="Times New Roman" w:cs="Times New Roman"/>
        <w:sz w:val="20"/>
        <w:szCs w:val="20"/>
        <w:lang w:eastAsia="ar-SA"/>
      </w:rPr>
    </w:pPr>
  </w:p>
  <w:p w14:paraId="3561A16A" w14:textId="536A00BB" w:rsidR="00810A2B" w:rsidRPr="001D54C7" w:rsidRDefault="00810A2B" w:rsidP="001D54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1004" w14:textId="77777777" w:rsidR="00810A2B" w:rsidRPr="00A25B57" w:rsidRDefault="00810A2B" w:rsidP="00810A2B">
    <w:pPr>
      <w:widowControl w:val="0"/>
      <w:tabs>
        <w:tab w:val="left" w:pos="3204"/>
      </w:tabs>
      <w:autoSpaceDE w:val="0"/>
      <w:autoSpaceDN w:val="0"/>
      <w:bidi/>
      <w:spacing w:after="0" w:line="240" w:lineRule="auto"/>
      <w:rPr>
        <w:rFonts w:ascii="Times New Roman" w:eastAsia="Times New Roman" w:hAnsi="Times New Roman" w:cs="Times New Roman"/>
        <w:b/>
        <w:bCs/>
        <w:sz w:val="20"/>
        <w:szCs w:val="20"/>
        <w:rtl/>
        <w:lang w:eastAsia="ar-SA" w:bidi="ar-IQ"/>
      </w:rPr>
    </w:pPr>
    <w:r w:rsidRPr="00A25B57">
      <w:rPr>
        <w:rFonts w:ascii="Calibri" w:eastAsia="Calibri" w:hAnsi="Calibri" w:cs="Arial"/>
        <w:noProof/>
        <w:rtl/>
      </w:rPr>
      <w:drawing>
        <wp:anchor distT="0" distB="0" distL="114300" distR="114300" simplePos="0" relativeHeight="251658240" behindDoc="0" locked="0" layoutInCell="1" allowOverlap="1" wp14:anchorId="435DC325" wp14:editId="7F143E00">
          <wp:simplePos x="0" y="0"/>
          <wp:positionH relativeFrom="column">
            <wp:posOffset>-187960</wp:posOffset>
          </wp:positionH>
          <wp:positionV relativeFrom="paragraph">
            <wp:posOffset>79697</wp:posOffset>
          </wp:positionV>
          <wp:extent cx="914400" cy="914400"/>
          <wp:effectExtent l="0" t="0" r="0" b="0"/>
          <wp:wrapNone/>
          <wp:docPr id="2" name="Picture 2" descr="C:\Users\dell\Desktop\IMG_20230214_122529_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IMG_20230214_122529_608.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5B57">
      <w:rPr>
        <w:rFonts w:ascii="Arial" w:eastAsia="Calibri" w:hAnsi="Arial" w:cs="MS Serif"/>
        <w:b/>
        <w:bCs/>
        <w:sz w:val="12"/>
        <w:szCs w:val="12"/>
        <w:lang w:eastAsia="ar-SA"/>
      </w:rPr>
      <w:t xml:space="preserve">          </w:t>
    </w:r>
    <w:r w:rsidRPr="00A25B57">
      <w:rPr>
        <w:rFonts w:ascii="Times New Roman" w:eastAsia="Times New Roman" w:hAnsi="Times New Roman" w:cs="Times New Roman"/>
        <w:b/>
        <w:bCs/>
        <w:sz w:val="20"/>
        <w:szCs w:val="20"/>
        <w:lang w:eastAsia="ar-SA"/>
      </w:rPr>
      <w:t xml:space="preserve"> </w:t>
    </w:r>
    <w:r w:rsidRPr="00A25B57">
      <w:rPr>
        <w:rFonts w:ascii="Times New Roman" w:eastAsia="Times New Roman" w:hAnsi="Times New Roman" w:cs="Times New Roman"/>
        <w:b/>
        <w:bCs/>
        <w:sz w:val="20"/>
        <w:szCs w:val="20"/>
        <w:lang w:eastAsia="ar-SA"/>
      </w:rPr>
      <w:tab/>
      <w:t xml:space="preserve">                  </w:t>
    </w:r>
  </w:p>
  <w:p w14:paraId="27983488" w14:textId="77777777" w:rsidR="00810A2B" w:rsidRPr="00A25B57" w:rsidRDefault="00810A2B" w:rsidP="00810A2B">
    <w:pPr>
      <w:widowControl w:val="0"/>
      <w:tabs>
        <w:tab w:val="left" w:pos="2788"/>
      </w:tabs>
      <w:autoSpaceDE w:val="0"/>
      <w:autoSpaceDN w:val="0"/>
      <w:spacing w:after="0" w:line="240" w:lineRule="auto"/>
      <w:rPr>
        <w:rFonts w:ascii="Times New Roman" w:eastAsia="Times New Roman" w:hAnsi="Times New Roman" w:cs="Times New Roman"/>
        <w:b/>
        <w:bCs/>
        <w:sz w:val="20"/>
        <w:szCs w:val="20"/>
        <w:rtl/>
        <w:lang w:eastAsia="ar-SA" w:bidi="ar-IQ"/>
      </w:rPr>
    </w:pPr>
    <w:r w:rsidRPr="00A25B57">
      <w:rPr>
        <w:rFonts w:ascii="Times New Roman" w:eastAsia="Times New Roman" w:hAnsi="Times New Roman" w:cs="Times New Roman"/>
        <w:b/>
        <w:bCs/>
        <w:sz w:val="20"/>
        <w:szCs w:val="20"/>
        <w:lang w:eastAsia="ar-SA"/>
      </w:rPr>
      <w:t xml:space="preserve">     </w:t>
    </w:r>
    <w:r w:rsidRPr="00A25B57">
      <w:rPr>
        <w:rFonts w:ascii="Times New Roman" w:eastAsia="Times New Roman" w:hAnsi="Times New Roman" w:cs="Times New Roman"/>
        <w:b/>
        <w:bCs/>
        <w:sz w:val="20"/>
        <w:szCs w:val="20"/>
        <w:rtl/>
        <w:lang w:eastAsia="ar-SA"/>
      </w:rPr>
      <w:tab/>
    </w:r>
  </w:p>
  <w:p w14:paraId="15241F66" w14:textId="77777777" w:rsidR="00810A2B" w:rsidRPr="00A25B57" w:rsidRDefault="00810A2B" w:rsidP="00810A2B">
    <w:pPr>
      <w:widowControl w:val="0"/>
      <w:tabs>
        <w:tab w:val="center" w:pos="4153"/>
        <w:tab w:val="right" w:pos="8306"/>
      </w:tabs>
      <w:autoSpaceDE w:val="0"/>
      <w:autoSpaceDN w:val="0"/>
      <w:spacing w:after="100" w:line="240" w:lineRule="auto"/>
      <w:rPr>
        <w:rFonts w:ascii="Times New Roman" w:eastAsia="Times New Roman" w:hAnsi="Times New Roman" w:cs="Times New Roman"/>
        <w:b/>
        <w:bCs/>
        <w:sz w:val="20"/>
        <w:szCs w:val="20"/>
        <w:lang w:eastAsia="ar-SA"/>
      </w:rPr>
    </w:pPr>
    <w:r w:rsidRPr="00A25B57">
      <w:rPr>
        <w:rFonts w:ascii="Times New Roman" w:eastAsia="Times New Roman" w:hAnsi="Times New Roman" w:cs="Times New Roman"/>
        <w:b/>
        <w:bCs/>
        <w:sz w:val="20"/>
        <w:szCs w:val="20"/>
        <w:lang w:eastAsia="ar-SA"/>
      </w:rPr>
      <w:t xml:space="preserve">         </w:t>
    </w:r>
  </w:p>
  <w:p w14:paraId="25D5454D" w14:textId="1C48C9BD" w:rsidR="00810A2B" w:rsidRPr="00A25B57" w:rsidRDefault="00810A2B" w:rsidP="00023E37">
    <w:pPr>
      <w:widowControl w:val="0"/>
      <w:tabs>
        <w:tab w:val="center" w:pos="4153"/>
        <w:tab w:val="left" w:pos="7533"/>
      </w:tabs>
      <w:autoSpaceDE w:val="0"/>
      <w:autoSpaceDN w:val="0"/>
      <w:spacing w:after="100" w:line="240" w:lineRule="auto"/>
      <w:rPr>
        <w:rFonts w:ascii="Times New Roman" w:eastAsia="Times New Roman" w:hAnsi="Times New Roman" w:cs="Times New Roman"/>
        <w:b/>
        <w:bCs/>
        <w:sz w:val="20"/>
        <w:szCs w:val="20"/>
        <w:lang w:eastAsia="ar-SA" w:bidi="ar-IQ"/>
      </w:rPr>
    </w:pPr>
    <w:r w:rsidRPr="00A25B57">
      <w:rPr>
        <w:rFonts w:ascii="Times New Roman" w:eastAsia="Times New Roman" w:hAnsi="Times New Roman" w:cs="Times New Roman"/>
        <w:b/>
        <w:bCs/>
        <w:sz w:val="20"/>
        <w:szCs w:val="20"/>
        <w:lang w:eastAsia="ar-SA"/>
      </w:rPr>
      <w:t xml:space="preserve">                          </w:t>
    </w:r>
    <w:r w:rsidR="007862AA" w:rsidRPr="004465DD">
      <w:rPr>
        <w:rFonts w:asciiTheme="majorBidi" w:hAnsiTheme="majorBidi" w:cstheme="majorBidi"/>
        <w:b/>
        <w:bCs/>
        <w:sz w:val="20"/>
        <w:szCs w:val="20"/>
      </w:rPr>
      <w:t xml:space="preserve">Iraqi Journal of Biotechnology, 2026, Vol. 25, No. </w:t>
    </w:r>
    <w:r w:rsidR="007862AA">
      <w:rPr>
        <w:rFonts w:asciiTheme="majorBidi" w:hAnsiTheme="majorBidi" w:cstheme="majorBidi" w:hint="cs"/>
        <w:b/>
        <w:bCs/>
        <w:sz w:val="20"/>
        <w:szCs w:val="20"/>
        <w:rtl/>
      </w:rPr>
      <w:t>2</w:t>
    </w:r>
    <w:r w:rsidR="007862AA" w:rsidRPr="004465DD">
      <w:rPr>
        <w:rFonts w:asciiTheme="majorBidi" w:hAnsiTheme="majorBidi" w:cstheme="majorBidi"/>
        <w:b/>
        <w:bCs/>
        <w:sz w:val="20"/>
        <w:szCs w:val="20"/>
      </w:rPr>
      <w:t>, 1-</w:t>
    </w:r>
    <w:r w:rsidR="007862AA">
      <w:rPr>
        <w:rFonts w:asciiTheme="majorBidi" w:hAnsiTheme="majorBidi" w:cstheme="majorBidi" w:hint="cs"/>
        <w:b/>
        <w:bCs/>
        <w:sz w:val="20"/>
        <w:szCs w:val="20"/>
        <w:rtl/>
      </w:rPr>
      <w:t>10</w:t>
    </w:r>
  </w:p>
  <w:p w14:paraId="01D06C20" w14:textId="77777777" w:rsidR="00810A2B" w:rsidRPr="00A25B57" w:rsidRDefault="00810A2B" w:rsidP="00810A2B">
    <w:pPr>
      <w:widowControl w:val="0"/>
      <w:tabs>
        <w:tab w:val="left" w:pos="2496"/>
      </w:tabs>
      <w:autoSpaceDE w:val="0"/>
      <w:autoSpaceDN w:val="0"/>
      <w:spacing w:after="100" w:line="240" w:lineRule="auto"/>
      <w:rPr>
        <w:rFonts w:ascii="Times New Roman" w:eastAsia="Times New Roman" w:hAnsi="Times New Roman" w:cs="Times New Roman"/>
        <w:sz w:val="20"/>
        <w:szCs w:val="20"/>
        <w:rtl/>
        <w:lang w:eastAsia="ar-SA"/>
      </w:rPr>
    </w:pPr>
    <w:r w:rsidRPr="00A25B57">
      <w:rPr>
        <w:rFonts w:ascii="Times New Roman" w:eastAsia="Times New Roman" w:hAnsi="Times New Roman" w:cs="Times New Roman"/>
        <w:sz w:val="20"/>
        <w:szCs w:val="20"/>
        <w:lang w:eastAsia="ar-SA"/>
      </w:rPr>
      <w:tab/>
    </w:r>
  </w:p>
  <w:p w14:paraId="33D0B03D" w14:textId="77777777" w:rsidR="00810A2B" w:rsidRPr="00A25B57" w:rsidRDefault="00810A2B" w:rsidP="00810A2B">
    <w:pPr>
      <w:widowControl w:val="0"/>
      <w:tabs>
        <w:tab w:val="center" w:pos="4320"/>
        <w:tab w:val="right" w:pos="8640"/>
      </w:tabs>
      <w:autoSpaceDE w:val="0"/>
      <w:autoSpaceDN w:val="0"/>
      <w:spacing w:after="0" w:line="240" w:lineRule="auto"/>
      <w:rPr>
        <w:rFonts w:ascii="Calibri" w:eastAsia="Calibri" w:hAnsi="Calibri" w:cs="Arial"/>
      </w:rPr>
    </w:pPr>
  </w:p>
  <w:p w14:paraId="281518ED" w14:textId="469B84DB" w:rsidR="00810A2B" w:rsidRPr="00810A2B" w:rsidRDefault="00810A2B" w:rsidP="00810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306"/>
    <w:multiLevelType w:val="hybridMultilevel"/>
    <w:tmpl w:val="4CAE4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F128C7"/>
    <w:multiLevelType w:val="hybridMultilevel"/>
    <w:tmpl w:val="46407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7A524C"/>
    <w:multiLevelType w:val="multilevel"/>
    <w:tmpl w:val="01BE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9918183">
    <w:abstractNumId w:val="2"/>
  </w:num>
  <w:num w:numId="2" w16cid:durableId="1476799451">
    <w:abstractNumId w:val="0"/>
  </w:num>
  <w:num w:numId="3" w16cid:durableId="2082603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Q1MjA3NjAxMjG3tDBQ0lEKTi0uzszPAykwNKgFALFes74tAAAA"/>
  </w:docVars>
  <w:rsids>
    <w:rsidRoot w:val="00E7023E"/>
    <w:rsid w:val="00006549"/>
    <w:rsid w:val="00016546"/>
    <w:rsid w:val="00023E37"/>
    <w:rsid w:val="000240AD"/>
    <w:rsid w:val="00046EFD"/>
    <w:rsid w:val="0005368D"/>
    <w:rsid w:val="0009642C"/>
    <w:rsid w:val="000B24AB"/>
    <w:rsid w:val="000C31E6"/>
    <w:rsid w:val="000D0856"/>
    <w:rsid w:val="000F0CE1"/>
    <w:rsid w:val="000F54DE"/>
    <w:rsid w:val="000F5DDB"/>
    <w:rsid w:val="001045EA"/>
    <w:rsid w:val="00117A59"/>
    <w:rsid w:val="001225D2"/>
    <w:rsid w:val="001279E2"/>
    <w:rsid w:val="00145042"/>
    <w:rsid w:val="001624E0"/>
    <w:rsid w:val="00192491"/>
    <w:rsid w:val="001B0738"/>
    <w:rsid w:val="001C5331"/>
    <w:rsid w:val="001C5398"/>
    <w:rsid w:val="001D139B"/>
    <w:rsid w:val="001D54C7"/>
    <w:rsid w:val="001E0A35"/>
    <w:rsid w:val="001E28D4"/>
    <w:rsid w:val="001E3AFD"/>
    <w:rsid w:val="001F584D"/>
    <w:rsid w:val="00251BC8"/>
    <w:rsid w:val="00275406"/>
    <w:rsid w:val="00291985"/>
    <w:rsid w:val="002B3852"/>
    <w:rsid w:val="002C53A4"/>
    <w:rsid w:val="002C55E1"/>
    <w:rsid w:val="002D3D20"/>
    <w:rsid w:val="002E6823"/>
    <w:rsid w:val="00310D13"/>
    <w:rsid w:val="003240D5"/>
    <w:rsid w:val="003373D3"/>
    <w:rsid w:val="00340899"/>
    <w:rsid w:val="00362AEC"/>
    <w:rsid w:val="0037554D"/>
    <w:rsid w:val="003857A4"/>
    <w:rsid w:val="003E2765"/>
    <w:rsid w:val="00402A6B"/>
    <w:rsid w:val="004050B8"/>
    <w:rsid w:val="00406A38"/>
    <w:rsid w:val="00464667"/>
    <w:rsid w:val="004766F5"/>
    <w:rsid w:val="00480D95"/>
    <w:rsid w:val="00487633"/>
    <w:rsid w:val="004938F2"/>
    <w:rsid w:val="004C3B19"/>
    <w:rsid w:val="004C7BD9"/>
    <w:rsid w:val="004D4290"/>
    <w:rsid w:val="004F442B"/>
    <w:rsid w:val="004F71C1"/>
    <w:rsid w:val="00500FAA"/>
    <w:rsid w:val="005173D4"/>
    <w:rsid w:val="005235A5"/>
    <w:rsid w:val="00524597"/>
    <w:rsid w:val="00524CDD"/>
    <w:rsid w:val="0054013F"/>
    <w:rsid w:val="00542197"/>
    <w:rsid w:val="00551B30"/>
    <w:rsid w:val="00563C86"/>
    <w:rsid w:val="005643D9"/>
    <w:rsid w:val="0056745A"/>
    <w:rsid w:val="00574FEA"/>
    <w:rsid w:val="005922A7"/>
    <w:rsid w:val="005939DD"/>
    <w:rsid w:val="005A424A"/>
    <w:rsid w:val="005A7BE6"/>
    <w:rsid w:val="005B55C2"/>
    <w:rsid w:val="005C0AEC"/>
    <w:rsid w:val="005C6C21"/>
    <w:rsid w:val="005F2878"/>
    <w:rsid w:val="0060493D"/>
    <w:rsid w:val="0061198D"/>
    <w:rsid w:val="00617819"/>
    <w:rsid w:val="006222B8"/>
    <w:rsid w:val="00646512"/>
    <w:rsid w:val="00647802"/>
    <w:rsid w:val="00651874"/>
    <w:rsid w:val="006671F1"/>
    <w:rsid w:val="006735DC"/>
    <w:rsid w:val="00675660"/>
    <w:rsid w:val="006A473B"/>
    <w:rsid w:val="006D25DF"/>
    <w:rsid w:val="00704FEE"/>
    <w:rsid w:val="00710AA5"/>
    <w:rsid w:val="00730467"/>
    <w:rsid w:val="00734D73"/>
    <w:rsid w:val="00735038"/>
    <w:rsid w:val="00741B4D"/>
    <w:rsid w:val="007425E8"/>
    <w:rsid w:val="007446DE"/>
    <w:rsid w:val="0075087A"/>
    <w:rsid w:val="00765559"/>
    <w:rsid w:val="007713C5"/>
    <w:rsid w:val="007862AA"/>
    <w:rsid w:val="00791335"/>
    <w:rsid w:val="00791EA8"/>
    <w:rsid w:val="00796091"/>
    <w:rsid w:val="007A2FAB"/>
    <w:rsid w:val="007A4938"/>
    <w:rsid w:val="007A6C0D"/>
    <w:rsid w:val="007C06A3"/>
    <w:rsid w:val="007C0AEA"/>
    <w:rsid w:val="007D707B"/>
    <w:rsid w:val="007D7691"/>
    <w:rsid w:val="007E75F4"/>
    <w:rsid w:val="00802065"/>
    <w:rsid w:val="00810A2B"/>
    <w:rsid w:val="00825521"/>
    <w:rsid w:val="0082701B"/>
    <w:rsid w:val="008340AA"/>
    <w:rsid w:val="00835624"/>
    <w:rsid w:val="00836D85"/>
    <w:rsid w:val="008409F6"/>
    <w:rsid w:val="00881024"/>
    <w:rsid w:val="008A591A"/>
    <w:rsid w:val="008A6CF4"/>
    <w:rsid w:val="008B1CA0"/>
    <w:rsid w:val="008B3AF9"/>
    <w:rsid w:val="008B500C"/>
    <w:rsid w:val="008B6619"/>
    <w:rsid w:val="008C3959"/>
    <w:rsid w:val="009065C2"/>
    <w:rsid w:val="00914BA2"/>
    <w:rsid w:val="00921461"/>
    <w:rsid w:val="009318EB"/>
    <w:rsid w:val="00940C0F"/>
    <w:rsid w:val="0095535C"/>
    <w:rsid w:val="00961453"/>
    <w:rsid w:val="009665AA"/>
    <w:rsid w:val="00971BF4"/>
    <w:rsid w:val="00982A94"/>
    <w:rsid w:val="00983E19"/>
    <w:rsid w:val="00991C84"/>
    <w:rsid w:val="009A6C1B"/>
    <w:rsid w:val="009A6D35"/>
    <w:rsid w:val="009A7063"/>
    <w:rsid w:val="009D3070"/>
    <w:rsid w:val="009E7326"/>
    <w:rsid w:val="009F0C04"/>
    <w:rsid w:val="009F42B4"/>
    <w:rsid w:val="009F5F55"/>
    <w:rsid w:val="00A00296"/>
    <w:rsid w:val="00A007FF"/>
    <w:rsid w:val="00A018AD"/>
    <w:rsid w:val="00A1456B"/>
    <w:rsid w:val="00A17C9A"/>
    <w:rsid w:val="00A22036"/>
    <w:rsid w:val="00A23055"/>
    <w:rsid w:val="00A26C10"/>
    <w:rsid w:val="00A34733"/>
    <w:rsid w:val="00A41851"/>
    <w:rsid w:val="00A50C82"/>
    <w:rsid w:val="00A605AE"/>
    <w:rsid w:val="00AA0E39"/>
    <w:rsid w:val="00AA1D75"/>
    <w:rsid w:val="00AB6924"/>
    <w:rsid w:val="00AE69BD"/>
    <w:rsid w:val="00AE6BB5"/>
    <w:rsid w:val="00B174E2"/>
    <w:rsid w:val="00B26051"/>
    <w:rsid w:val="00B37373"/>
    <w:rsid w:val="00B51682"/>
    <w:rsid w:val="00B51C15"/>
    <w:rsid w:val="00B532E3"/>
    <w:rsid w:val="00B560B8"/>
    <w:rsid w:val="00B679B6"/>
    <w:rsid w:val="00B74DCA"/>
    <w:rsid w:val="00B90075"/>
    <w:rsid w:val="00BA14A2"/>
    <w:rsid w:val="00BC1FD9"/>
    <w:rsid w:val="00BD2846"/>
    <w:rsid w:val="00BE6859"/>
    <w:rsid w:val="00BF5242"/>
    <w:rsid w:val="00C11571"/>
    <w:rsid w:val="00C11964"/>
    <w:rsid w:val="00C433EE"/>
    <w:rsid w:val="00C50EBA"/>
    <w:rsid w:val="00C6335B"/>
    <w:rsid w:val="00CA473F"/>
    <w:rsid w:val="00CA4F85"/>
    <w:rsid w:val="00CB0515"/>
    <w:rsid w:val="00CB42CC"/>
    <w:rsid w:val="00CB5F76"/>
    <w:rsid w:val="00CB6E8D"/>
    <w:rsid w:val="00CC2FD2"/>
    <w:rsid w:val="00CC3748"/>
    <w:rsid w:val="00CF1ACE"/>
    <w:rsid w:val="00CF1D04"/>
    <w:rsid w:val="00D05BD0"/>
    <w:rsid w:val="00D12D06"/>
    <w:rsid w:val="00D3134F"/>
    <w:rsid w:val="00D34862"/>
    <w:rsid w:val="00D60C50"/>
    <w:rsid w:val="00D612DB"/>
    <w:rsid w:val="00D91CC2"/>
    <w:rsid w:val="00DB422E"/>
    <w:rsid w:val="00DB4C04"/>
    <w:rsid w:val="00DE2D50"/>
    <w:rsid w:val="00E0443D"/>
    <w:rsid w:val="00E06795"/>
    <w:rsid w:val="00E10626"/>
    <w:rsid w:val="00E14CCF"/>
    <w:rsid w:val="00E34040"/>
    <w:rsid w:val="00E34936"/>
    <w:rsid w:val="00E4117A"/>
    <w:rsid w:val="00E471B2"/>
    <w:rsid w:val="00E56D9F"/>
    <w:rsid w:val="00E65591"/>
    <w:rsid w:val="00E7023E"/>
    <w:rsid w:val="00E96D55"/>
    <w:rsid w:val="00EA0917"/>
    <w:rsid w:val="00EB3531"/>
    <w:rsid w:val="00EC0DC1"/>
    <w:rsid w:val="00EC5481"/>
    <w:rsid w:val="00EC647D"/>
    <w:rsid w:val="00EF5650"/>
    <w:rsid w:val="00F122C8"/>
    <w:rsid w:val="00F46603"/>
    <w:rsid w:val="00F840BE"/>
    <w:rsid w:val="00F903E8"/>
    <w:rsid w:val="00F91694"/>
    <w:rsid w:val="00F91933"/>
    <w:rsid w:val="00FB5361"/>
    <w:rsid w:val="00FC65A1"/>
    <w:rsid w:val="00FC71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FD6E7"/>
  <w15:docId w15:val="{3A9BD146-3BEC-42EE-ADDB-5A971DF5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614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1453"/>
    <w:rPr>
      <w:sz w:val="20"/>
      <w:szCs w:val="20"/>
    </w:rPr>
  </w:style>
  <w:style w:type="character" w:styleId="FootnoteReference">
    <w:name w:val="footnote reference"/>
    <w:basedOn w:val="DefaultParagraphFont"/>
    <w:uiPriority w:val="99"/>
    <w:semiHidden/>
    <w:unhideWhenUsed/>
    <w:rsid w:val="00961453"/>
    <w:rPr>
      <w:vertAlign w:val="superscript"/>
    </w:rPr>
  </w:style>
  <w:style w:type="paragraph" w:styleId="NormalWeb">
    <w:name w:val="Normal (Web)"/>
    <w:basedOn w:val="Normal"/>
    <w:uiPriority w:val="99"/>
    <w:unhideWhenUsed/>
    <w:rsid w:val="006671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71F1"/>
    <w:rPr>
      <w:b/>
      <w:bCs/>
    </w:rPr>
  </w:style>
  <w:style w:type="table" w:styleId="TableGrid">
    <w:name w:val="Table Grid"/>
    <w:basedOn w:val="TableNormal"/>
    <w:uiPriority w:val="59"/>
    <w:rsid w:val="00405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05AE"/>
    <w:rPr>
      <w:color w:val="0000FF" w:themeColor="hyperlink"/>
      <w:u w:val="single"/>
    </w:rPr>
  </w:style>
  <w:style w:type="paragraph" w:styleId="BalloonText">
    <w:name w:val="Balloon Text"/>
    <w:basedOn w:val="Normal"/>
    <w:link w:val="BalloonTextChar"/>
    <w:uiPriority w:val="99"/>
    <w:semiHidden/>
    <w:unhideWhenUsed/>
    <w:rsid w:val="00A01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8AD"/>
    <w:rPr>
      <w:rFonts w:ascii="Tahoma" w:hAnsi="Tahoma" w:cs="Tahoma"/>
      <w:sz w:val="16"/>
      <w:szCs w:val="16"/>
    </w:rPr>
  </w:style>
  <w:style w:type="character" w:customStyle="1" w:styleId="fontstyle01">
    <w:name w:val="fontstyle01"/>
    <w:basedOn w:val="DefaultParagraphFont"/>
    <w:rsid w:val="0037554D"/>
    <w:rPr>
      <w:rFonts w:ascii="Times New Roman" w:hAnsi="Times New Roman" w:cs="Times New Roman" w:hint="default"/>
      <w:b/>
      <w:bCs/>
      <w:i w:val="0"/>
      <w:iCs w:val="0"/>
      <w:color w:val="000000"/>
      <w:sz w:val="22"/>
      <w:szCs w:val="22"/>
    </w:rPr>
  </w:style>
  <w:style w:type="character" w:customStyle="1" w:styleId="overflow-hidden">
    <w:name w:val="overflow-hidden"/>
    <w:basedOn w:val="DefaultParagraphFont"/>
    <w:rsid w:val="00DE2D50"/>
  </w:style>
  <w:style w:type="paragraph" w:styleId="ListParagraph">
    <w:name w:val="List Paragraph"/>
    <w:basedOn w:val="Normal"/>
    <w:uiPriority w:val="34"/>
    <w:qFormat/>
    <w:rsid w:val="004C7BD9"/>
    <w:pPr>
      <w:ind w:left="720"/>
      <w:contextualSpacing/>
    </w:pPr>
  </w:style>
  <w:style w:type="paragraph" w:styleId="Header">
    <w:name w:val="header"/>
    <w:basedOn w:val="Normal"/>
    <w:link w:val="HeaderChar"/>
    <w:uiPriority w:val="99"/>
    <w:unhideWhenUsed/>
    <w:rsid w:val="00810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A2B"/>
  </w:style>
  <w:style w:type="paragraph" w:styleId="Footer">
    <w:name w:val="footer"/>
    <w:basedOn w:val="Normal"/>
    <w:link w:val="FooterChar"/>
    <w:uiPriority w:val="99"/>
    <w:unhideWhenUsed/>
    <w:rsid w:val="00810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A2B"/>
  </w:style>
  <w:style w:type="character" w:styleId="Emphasis">
    <w:name w:val="Emphasis"/>
    <w:basedOn w:val="DefaultParagraphFont"/>
    <w:uiPriority w:val="20"/>
    <w:qFormat/>
    <w:rsid w:val="007D707B"/>
    <w:rPr>
      <w:i/>
      <w:iCs/>
    </w:rPr>
  </w:style>
  <w:style w:type="character" w:customStyle="1" w:styleId="fontstyle21">
    <w:name w:val="fontstyle21"/>
    <w:basedOn w:val="DefaultParagraphFont"/>
    <w:rsid w:val="00AA0E39"/>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11776">
      <w:bodyDiv w:val="1"/>
      <w:marLeft w:val="0"/>
      <w:marRight w:val="0"/>
      <w:marTop w:val="0"/>
      <w:marBottom w:val="0"/>
      <w:divBdr>
        <w:top w:val="none" w:sz="0" w:space="0" w:color="auto"/>
        <w:left w:val="none" w:sz="0" w:space="0" w:color="auto"/>
        <w:bottom w:val="none" w:sz="0" w:space="0" w:color="auto"/>
        <w:right w:val="none" w:sz="0" w:space="0" w:color="auto"/>
      </w:divBdr>
      <w:divsChild>
        <w:div w:id="1430347836">
          <w:marLeft w:val="0"/>
          <w:marRight w:val="0"/>
          <w:marTop w:val="0"/>
          <w:marBottom w:val="0"/>
          <w:divBdr>
            <w:top w:val="none" w:sz="0" w:space="0" w:color="auto"/>
            <w:left w:val="none" w:sz="0" w:space="0" w:color="auto"/>
            <w:bottom w:val="none" w:sz="0" w:space="0" w:color="auto"/>
            <w:right w:val="none" w:sz="0" w:space="0" w:color="auto"/>
          </w:divBdr>
          <w:divsChild>
            <w:div w:id="215898177">
              <w:marLeft w:val="0"/>
              <w:marRight w:val="0"/>
              <w:marTop w:val="0"/>
              <w:marBottom w:val="0"/>
              <w:divBdr>
                <w:top w:val="none" w:sz="0" w:space="0" w:color="auto"/>
                <w:left w:val="none" w:sz="0" w:space="0" w:color="auto"/>
                <w:bottom w:val="none" w:sz="0" w:space="0" w:color="auto"/>
                <w:right w:val="none" w:sz="0" w:space="0" w:color="auto"/>
              </w:divBdr>
              <w:divsChild>
                <w:div w:id="1443913945">
                  <w:marLeft w:val="0"/>
                  <w:marRight w:val="0"/>
                  <w:marTop w:val="0"/>
                  <w:marBottom w:val="0"/>
                  <w:divBdr>
                    <w:top w:val="none" w:sz="0" w:space="0" w:color="auto"/>
                    <w:left w:val="none" w:sz="0" w:space="0" w:color="auto"/>
                    <w:bottom w:val="none" w:sz="0" w:space="0" w:color="auto"/>
                    <w:right w:val="none" w:sz="0" w:space="0" w:color="auto"/>
                  </w:divBdr>
                  <w:divsChild>
                    <w:div w:id="2783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634451">
      <w:bodyDiv w:val="1"/>
      <w:marLeft w:val="0"/>
      <w:marRight w:val="0"/>
      <w:marTop w:val="0"/>
      <w:marBottom w:val="0"/>
      <w:divBdr>
        <w:top w:val="none" w:sz="0" w:space="0" w:color="auto"/>
        <w:left w:val="none" w:sz="0" w:space="0" w:color="auto"/>
        <w:bottom w:val="none" w:sz="0" w:space="0" w:color="auto"/>
        <w:right w:val="none" w:sz="0" w:space="0" w:color="auto"/>
      </w:divBdr>
    </w:div>
    <w:div w:id="499857624">
      <w:bodyDiv w:val="1"/>
      <w:marLeft w:val="0"/>
      <w:marRight w:val="0"/>
      <w:marTop w:val="0"/>
      <w:marBottom w:val="0"/>
      <w:divBdr>
        <w:top w:val="none" w:sz="0" w:space="0" w:color="auto"/>
        <w:left w:val="none" w:sz="0" w:space="0" w:color="auto"/>
        <w:bottom w:val="none" w:sz="0" w:space="0" w:color="auto"/>
        <w:right w:val="none" w:sz="0" w:space="0" w:color="auto"/>
      </w:divBdr>
    </w:div>
    <w:div w:id="750394191">
      <w:bodyDiv w:val="1"/>
      <w:marLeft w:val="0"/>
      <w:marRight w:val="0"/>
      <w:marTop w:val="0"/>
      <w:marBottom w:val="0"/>
      <w:divBdr>
        <w:top w:val="none" w:sz="0" w:space="0" w:color="auto"/>
        <w:left w:val="none" w:sz="0" w:space="0" w:color="auto"/>
        <w:bottom w:val="none" w:sz="0" w:space="0" w:color="auto"/>
        <w:right w:val="none" w:sz="0" w:space="0" w:color="auto"/>
      </w:divBdr>
    </w:div>
    <w:div w:id="1035929681">
      <w:bodyDiv w:val="1"/>
      <w:marLeft w:val="0"/>
      <w:marRight w:val="0"/>
      <w:marTop w:val="0"/>
      <w:marBottom w:val="0"/>
      <w:divBdr>
        <w:top w:val="none" w:sz="0" w:space="0" w:color="auto"/>
        <w:left w:val="none" w:sz="0" w:space="0" w:color="auto"/>
        <w:bottom w:val="none" w:sz="0" w:space="0" w:color="auto"/>
        <w:right w:val="none" w:sz="0" w:space="0" w:color="auto"/>
      </w:divBdr>
    </w:div>
    <w:div w:id="1241677446">
      <w:bodyDiv w:val="1"/>
      <w:marLeft w:val="0"/>
      <w:marRight w:val="0"/>
      <w:marTop w:val="0"/>
      <w:marBottom w:val="0"/>
      <w:divBdr>
        <w:top w:val="none" w:sz="0" w:space="0" w:color="auto"/>
        <w:left w:val="none" w:sz="0" w:space="0" w:color="auto"/>
        <w:bottom w:val="none" w:sz="0" w:space="0" w:color="auto"/>
        <w:right w:val="none" w:sz="0" w:space="0" w:color="auto"/>
      </w:divBdr>
    </w:div>
    <w:div w:id="1320306846">
      <w:bodyDiv w:val="1"/>
      <w:marLeft w:val="0"/>
      <w:marRight w:val="0"/>
      <w:marTop w:val="0"/>
      <w:marBottom w:val="0"/>
      <w:divBdr>
        <w:top w:val="none" w:sz="0" w:space="0" w:color="auto"/>
        <w:left w:val="none" w:sz="0" w:space="0" w:color="auto"/>
        <w:bottom w:val="none" w:sz="0" w:space="0" w:color="auto"/>
        <w:right w:val="none" w:sz="0" w:space="0" w:color="auto"/>
      </w:divBdr>
    </w:div>
    <w:div w:id="1324819214">
      <w:bodyDiv w:val="1"/>
      <w:marLeft w:val="0"/>
      <w:marRight w:val="0"/>
      <w:marTop w:val="0"/>
      <w:marBottom w:val="0"/>
      <w:divBdr>
        <w:top w:val="none" w:sz="0" w:space="0" w:color="auto"/>
        <w:left w:val="none" w:sz="0" w:space="0" w:color="auto"/>
        <w:bottom w:val="none" w:sz="0" w:space="0" w:color="auto"/>
        <w:right w:val="none" w:sz="0" w:space="0" w:color="auto"/>
      </w:divBdr>
    </w:div>
    <w:div w:id="1493335345">
      <w:bodyDiv w:val="1"/>
      <w:marLeft w:val="0"/>
      <w:marRight w:val="0"/>
      <w:marTop w:val="0"/>
      <w:marBottom w:val="0"/>
      <w:divBdr>
        <w:top w:val="none" w:sz="0" w:space="0" w:color="auto"/>
        <w:left w:val="none" w:sz="0" w:space="0" w:color="auto"/>
        <w:bottom w:val="none" w:sz="0" w:space="0" w:color="auto"/>
        <w:right w:val="none" w:sz="0" w:space="0" w:color="auto"/>
      </w:divBdr>
      <w:divsChild>
        <w:div w:id="878934650">
          <w:marLeft w:val="0"/>
          <w:marRight w:val="0"/>
          <w:marTop w:val="0"/>
          <w:marBottom w:val="0"/>
          <w:divBdr>
            <w:top w:val="none" w:sz="0" w:space="0" w:color="auto"/>
            <w:left w:val="none" w:sz="0" w:space="0" w:color="auto"/>
            <w:bottom w:val="none" w:sz="0" w:space="0" w:color="auto"/>
            <w:right w:val="none" w:sz="0" w:space="0" w:color="auto"/>
          </w:divBdr>
          <w:divsChild>
            <w:div w:id="1868104288">
              <w:marLeft w:val="0"/>
              <w:marRight w:val="0"/>
              <w:marTop w:val="0"/>
              <w:marBottom w:val="0"/>
              <w:divBdr>
                <w:top w:val="none" w:sz="0" w:space="0" w:color="auto"/>
                <w:left w:val="none" w:sz="0" w:space="0" w:color="auto"/>
                <w:bottom w:val="none" w:sz="0" w:space="0" w:color="auto"/>
                <w:right w:val="none" w:sz="0" w:space="0" w:color="auto"/>
              </w:divBdr>
              <w:divsChild>
                <w:div w:id="1112439636">
                  <w:marLeft w:val="0"/>
                  <w:marRight w:val="0"/>
                  <w:marTop w:val="0"/>
                  <w:marBottom w:val="0"/>
                  <w:divBdr>
                    <w:top w:val="none" w:sz="0" w:space="0" w:color="auto"/>
                    <w:left w:val="none" w:sz="0" w:space="0" w:color="auto"/>
                    <w:bottom w:val="none" w:sz="0" w:space="0" w:color="auto"/>
                    <w:right w:val="none" w:sz="0" w:space="0" w:color="auto"/>
                  </w:divBdr>
                  <w:divsChild>
                    <w:div w:id="2490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046388">
      <w:bodyDiv w:val="1"/>
      <w:marLeft w:val="0"/>
      <w:marRight w:val="0"/>
      <w:marTop w:val="0"/>
      <w:marBottom w:val="0"/>
      <w:divBdr>
        <w:top w:val="none" w:sz="0" w:space="0" w:color="auto"/>
        <w:left w:val="none" w:sz="0" w:space="0" w:color="auto"/>
        <w:bottom w:val="none" w:sz="0" w:space="0" w:color="auto"/>
        <w:right w:val="none" w:sz="0" w:space="0" w:color="auto"/>
      </w:divBdr>
    </w:div>
    <w:div w:id="1636520744">
      <w:bodyDiv w:val="1"/>
      <w:marLeft w:val="0"/>
      <w:marRight w:val="0"/>
      <w:marTop w:val="0"/>
      <w:marBottom w:val="0"/>
      <w:divBdr>
        <w:top w:val="none" w:sz="0" w:space="0" w:color="auto"/>
        <w:left w:val="none" w:sz="0" w:space="0" w:color="auto"/>
        <w:bottom w:val="none" w:sz="0" w:space="0" w:color="auto"/>
        <w:right w:val="none" w:sz="0" w:space="0" w:color="auto"/>
      </w:divBdr>
      <w:divsChild>
        <w:div w:id="175926479">
          <w:marLeft w:val="0"/>
          <w:marRight w:val="0"/>
          <w:marTop w:val="0"/>
          <w:marBottom w:val="0"/>
          <w:divBdr>
            <w:top w:val="none" w:sz="0" w:space="0" w:color="auto"/>
            <w:left w:val="none" w:sz="0" w:space="0" w:color="auto"/>
            <w:bottom w:val="none" w:sz="0" w:space="0" w:color="auto"/>
            <w:right w:val="none" w:sz="0" w:space="0" w:color="auto"/>
          </w:divBdr>
          <w:divsChild>
            <w:div w:id="902063275">
              <w:marLeft w:val="0"/>
              <w:marRight w:val="0"/>
              <w:marTop w:val="0"/>
              <w:marBottom w:val="0"/>
              <w:divBdr>
                <w:top w:val="none" w:sz="0" w:space="0" w:color="auto"/>
                <w:left w:val="none" w:sz="0" w:space="0" w:color="auto"/>
                <w:bottom w:val="none" w:sz="0" w:space="0" w:color="auto"/>
                <w:right w:val="none" w:sz="0" w:space="0" w:color="auto"/>
              </w:divBdr>
              <w:divsChild>
                <w:div w:id="916402261">
                  <w:marLeft w:val="0"/>
                  <w:marRight w:val="0"/>
                  <w:marTop w:val="0"/>
                  <w:marBottom w:val="0"/>
                  <w:divBdr>
                    <w:top w:val="none" w:sz="0" w:space="0" w:color="auto"/>
                    <w:left w:val="none" w:sz="0" w:space="0" w:color="auto"/>
                    <w:bottom w:val="none" w:sz="0" w:space="0" w:color="auto"/>
                    <w:right w:val="none" w:sz="0" w:space="0" w:color="auto"/>
                  </w:divBdr>
                  <w:divsChild>
                    <w:div w:id="55366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493834">
          <w:marLeft w:val="0"/>
          <w:marRight w:val="0"/>
          <w:marTop w:val="0"/>
          <w:marBottom w:val="0"/>
          <w:divBdr>
            <w:top w:val="none" w:sz="0" w:space="0" w:color="auto"/>
            <w:left w:val="none" w:sz="0" w:space="0" w:color="auto"/>
            <w:bottom w:val="none" w:sz="0" w:space="0" w:color="auto"/>
            <w:right w:val="none" w:sz="0" w:space="0" w:color="auto"/>
          </w:divBdr>
          <w:divsChild>
            <w:div w:id="621885005">
              <w:marLeft w:val="0"/>
              <w:marRight w:val="0"/>
              <w:marTop w:val="0"/>
              <w:marBottom w:val="0"/>
              <w:divBdr>
                <w:top w:val="none" w:sz="0" w:space="0" w:color="auto"/>
                <w:left w:val="none" w:sz="0" w:space="0" w:color="auto"/>
                <w:bottom w:val="none" w:sz="0" w:space="0" w:color="auto"/>
                <w:right w:val="none" w:sz="0" w:space="0" w:color="auto"/>
              </w:divBdr>
              <w:divsChild>
                <w:div w:id="691339382">
                  <w:marLeft w:val="0"/>
                  <w:marRight w:val="0"/>
                  <w:marTop w:val="0"/>
                  <w:marBottom w:val="0"/>
                  <w:divBdr>
                    <w:top w:val="none" w:sz="0" w:space="0" w:color="auto"/>
                    <w:left w:val="none" w:sz="0" w:space="0" w:color="auto"/>
                    <w:bottom w:val="none" w:sz="0" w:space="0" w:color="auto"/>
                    <w:right w:val="none" w:sz="0" w:space="0" w:color="auto"/>
                  </w:divBdr>
                  <w:divsChild>
                    <w:div w:id="19372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32016">
      <w:bodyDiv w:val="1"/>
      <w:marLeft w:val="0"/>
      <w:marRight w:val="0"/>
      <w:marTop w:val="0"/>
      <w:marBottom w:val="0"/>
      <w:divBdr>
        <w:top w:val="none" w:sz="0" w:space="0" w:color="auto"/>
        <w:left w:val="none" w:sz="0" w:space="0" w:color="auto"/>
        <w:bottom w:val="none" w:sz="0" w:space="0" w:color="auto"/>
        <w:right w:val="none" w:sz="0" w:space="0" w:color="auto"/>
      </w:divBdr>
      <w:divsChild>
        <w:div w:id="1986667493">
          <w:marLeft w:val="0"/>
          <w:marRight w:val="0"/>
          <w:marTop w:val="0"/>
          <w:marBottom w:val="0"/>
          <w:divBdr>
            <w:top w:val="none" w:sz="0" w:space="0" w:color="auto"/>
            <w:left w:val="none" w:sz="0" w:space="0" w:color="auto"/>
            <w:bottom w:val="none" w:sz="0" w:space="0" w:color="auto"/>
            <w:right w:val="none" w:sz="0" w:space="0" w:color="auto"/>
          </w:divBdr>
          <w:divsChild>
            <w:div w:id="665672156">
              <w:marLeft w:val="0"/>
              <w:marRight w:val="0"/>
              <w:marTop w:val="0"/>
              <w:marBottom w:val="0"/>
              <w:divBdr>
                <w:top w:val="none" w:sz="0" w:space="0" w:color="auto"/>
                <w:left w:val="none" w:sz="0" w:space="0" w:color="auto"/>
                <w:bottom w:val="none" w:sz="0" w:space="0" w:color="auto"/>
                <w:right w:val="none" w:sz="0" w:space="0" w:color="auto"/>
              </w:divBdr>
              <w:divsChild>
                <w:div w:id="127015465">
                  <w:marLeft w:val="0"/>
                  <w:marRight w:val="0"/>
                  <w:marTop w:val="0"/>
                  <w:marBottom w:val="0"/>
                  <w:divBdr>
                    <w:top w:val="none" w:sz="0" w:space="0" w:color="auto"/>
                    <w:left w:val="none" w:sz="0" w:space="0" w:color="auto"/>
                    <w:bottom w:val="none" w:sz="0" w:space="0" w:color="auto"/>
                    <w:right w:val="none" w:sz="0" w:space="0" w:color="auto"/>
                  </w:divBdr>
                  <w:divsChild>
                    <w:div w:id="10198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50622">
          <w:marLeft w:val="0"/>
          <w:marRight w:val="0"/>
          <w:marTop w:val="0"/>
          <w:marBottom w:val="0"/>
          <w:divBdr>
            <w:top w:val="none" w:sz="0" w:space="0" w:color="auto"/>
            <w:left w:val="none" w:sz="0" w:space="0" w:color="auto"/>
            <w:bottom w:val="none" w:sz="0" w:space="0" w:color="auto"/>
            <w:right w:val="none" w:sz="0" w:space="0" w:color="auto"/>
          </w:divBdr>
          <w:divsChild>
            <w:div w:id="1297567337">
              <w:marLeft w:val="0"/>
              <w:marRight w:val="0"/>
              <w:marTop w:val="0"/>
              <w:marBottom w:val="0"/>
              <w:divBdr>
                <w:top w:val="none" w:sz="0" w:space="0" w:color="auto"/>
                <w:left w:val="none" w:sz="0" w:space="0" w:color="auto"/>
                <w:bottom w:val="none" w:sz="0" w:space="0" w:color="auto"/>
                <w:right w:val="none" w:sz="0" w:space="0" w:color="auto"/>
              </w:divBdr>
              <w:divsChild>
                <w:div w:id="1743943086">
                  <w:marLeft w:val="0"/>
                  <w:marRight w:val="0"/>
                  <w:marTop w:val="0"/>
                  <w:marBottom w:val="0"/>
                  <w:divBdr>
                    <w:top w:val="none" w:sz="0" w:space="0" w:color="auto"/>
                    <w:left w:val="none" w:sz="0" w:space="0" w:color="auto"/>
                    <w:bottom w:val="none" w:sz="0" w:space="0" w:color="auto"/>
                    <w:right w:val="none" w:sz="0" w:space="0" w:color="auto"/>
                  </w:divBdr>
                  <w:divsChild>
                    <w:div w:id="57759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15440">
      <w:bodyDiv w:val="1"/>
      <w:marLeft w:val="0"/>
      <w:marRight w:val="0"/>
      <w:marTop w:val="0"/>
      <w:marBottom w:val="0"/>
      <w:divBdr>
        <w:top w:val="none" w:sz="0" w:space="0" w:color="auto"/>
        <w:left w:val="none" w:sz="0" w:space="0" w:color="auto"/>
        <w:bottom w:val="none" w:sz="0" w:space="0" w:color="auto"/>
        <w:right w:val="none" w:sz="0" w:space="0" w:color="auto"/>
      </w:divBdr>
      <w:divsChild>
        <w:div w:id="1738045845">
          <w:marLeft w:val="0"/>
          <w:marRight w:val="0"/>
          <w:marTop w:val="0"/>
          <w:marBottom w:val="0"/>
          <w:divBdr>
            <w:top w:val="none" w:sz="0" w:space="0" w:color="auto"/>
            <w:left w:val="none" w:sz="0" w:space="0" w:color="auto"/>
            <w:bottom w:val="none" w:sz="0" w:space="0" w:color="auto"/>
            <w:right w:val="none" w:sz="0" w:space="0" w:color="auto"/>
          </w:divBdr>
          <w:divsChild>
            <w:div w:id="59790525">
              <w:marLeft w:val="0"/>
              <w:marRight w:val="0"/>
              <w:marTop w:val="0"/>
              <w:marBottom w:val="0"/>
              <w:divBdr>
                <w:top w:val="none" w:sz="0" w:space="0" w:color="auto"/>
                <w:left w:val="none" w:sz="0" w:space="0" w:color="auto"/>
                <w:bottom w:val="none" w:sz="0" w:space="0" w:color="auto"/>
                <w:right w:val="none" w:sz="0" w:space="0" w:color="auto"/>
              </w:divBdr>
              <w:divsChild>
                <w:div w:id="1173373746">
                  <w:marLeft w:val="0"/>
                  <w:marRight w:val="0"/>
                  <w:marTop w:val="0"/>
                  <w:marBottom w:val="0"/>
                  <w:divBdr>
                    <w:top w:val="none" w:sz="0" w:space="0" w:color="auto"/>
                    <w:left w:val="none" w:sz="0" w:space="0" w:color="auto"/>
                    <w:bottom w:val="none" w:sz="0" w:space="0" w:color="auto"/>
                    <w:right w:val="none" w:sz="0" w:space="0" w:color="auto"/>
                  </w:divBdr>
                  <w:divsChild>
                    <w:div w:id="15188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Hamssa@ige.uobaghdad.edu.iq" TargetMode="Externa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CFB79-ABFC-4686-9387-0CA0308D2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4268</Words>
  <Characters>24331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28542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ali alfendi</cp:lastModifiedBy>
  <cp:revision>6</cp:revision>
  <dcterms:created xsi:type="dcterms:W3CDTF">2026-06-20T14:02:00Z</dcterms:created>
  <dcterms:modified xsi:type="dcterms:W3CDTF">2026-06-25T08:52:00Z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http://www.zotero.org/styles/american-physiological-society</vt:lpwstr>
  </property>
  <property fmtid="{D5CDD505-2E9C-101B-9397-08002B2CF9AE}" pid="5" name="Mendeley Recent Style Name 1_1">
    <vt:lpwstr>American Physiological Society</vt:lpwstr>
  </property>
  <property fmtid="{D5CDD505-2E9C-101B-9397-08002B2CF9AE}" pid="6" name="Mendeley Recent Style Id 2_1">
    <vt:lpwstr>http://www.zotero.org/styles/apa-5th-edition</vt:lpwstr>
  </property>
  <property fmtid="{D5CDD505-2E9C-101B-9397-08002B2CF9AE}" pid="7" name="Mendeley Recent Style Name 2_1">
    <vt:lpwstr>American Psychological Association 5th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http://www.zotero.org/styles/apa-numeric-superscript</vt:lpwstr>
  </property>
  <property fmtid="{D5CDD505-2E9C-101B-9397-08002B2CF9AE}" pid="11" name="Mendeley Recent Style Name 4_1">
    <vt:lpwstr>American Psychological Association 7th edition (numeric, superscript)</vt:lpwstr>
  </property>
  <property fmtid="{D5CDD505-2E9C-101B-9397-08002B2CF9AE}" pid="12" name="Mendeley Recent Style Id 5_1">
    <vt:lpwstr>http://www.zotero.org/styles/american-sociological-association</vt:lpwstr>
  </property>
  <property fmtid="{D5CDD505-2E9C-101B-9397-08002B2CF9AE}" pid="13" name="Mendeley Recent Style Name 5_1">
    <vt:lpwstr>American Sociological Association 6th edition</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http://www.zotero.org/styles/vancouver-alphabetical</vt:lpwstr>
  </property>
  <property fmtid="{D5CDD505-2E9C-101B-9397-08002B2CF9AE}" pid="21" name="Mendeley Recent Style Name 9_1">
    <vt:lpwstr>Vancouver (sorted alphabetically)</vt:lpwstr>
  </property>
  <property fmtid="{D5CDD505-2E9C-101B-9397-08002B2CF9AE}" pid="22" name="Mendeley Document_1">
    <vt:lpwstr>True</vt:lpwstr>
  </property>
  <property fmtid="{D5CDD505-2E9C-101B-9397-08002B2CF9AE}" pid="23" name="Mendeley Unique User Id_1">
    <vt:lpwstr>bc084c87-52a1-3475-87b1-b998f1e178b9</vt:lpwstr>
  </property>
  <property fmtid="{D5CDD505-2E9C-101B-9397-08002B2CF9AE}" pid="24" name="Mendeley Citation Style_1">
    <vt:lpwstr>http://www.zotero.org/styles/apa-numeric-superscript</vt:lpwstr>
  </property>
  <property fmtid="{D5CDD505-2E9C-101B-9397-08002B2CF9AE}" pid="25" name="GrammarlyDocumentId">
    <vt:lpwstr>746407f9-0221-4b19-8666-0abf28d74368</vt:lpwstr>
  </property>
</Properties>
</file>